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06041" w14:textId="334DDD22" w:rsidR="00392F12" w:rsidRPr="000E5C84" w:rsidRDefault="00E63B4B">
      <w:pPr>
        <w:rPr>
          <w:b/>
          <w:bCs/>
        </w:rPr>
      </w:pPr>
      <w:r w:rsidRPr="000E5C84">
        <w:rPr>
          <w:b/>
          <w:bCs/>
        </w:rPr>
        <w:t>Statement</w:t>
      </w:r>
      <w:r w:rsidR="00A024E6">
        <w:rPr>
          <w:b/>
          <w:bCs/>
        </w:rPr>
        <w:t xml:space="preserve"> on publication of the Grenfell Tower Inquiry Phase 2 Report</w:t>
      </w:r>
    </w:p>
    <w:p w14:paraId="24B85A8F" w14:textId="3DBA478C" w:rsidR="001161E6" w:rsidRDefault="001161E6">
      <w:r>
        <w:t xml:space="preserve">This Statement is made </w:t>
      </w:r>
      <w:r w:rsidR="00F30A56">
        <w:t xml:space="preserve">in response to </w:t>
      </w:r>
      <w:r>
        <w:t xml:space="preserve">the final Grenfell Tower Inquiry </w:t>
      </w:r>
      <w:r w:rsidR="00841B86">
        <w:t>R</w:t>
      </w:r>
      <w:r>
        <w:t>eport published on 4 September</w:t>
      </w:r>
      <w:r w:rsidR="00F30A56">
        <w:t xml:space="preserve"> 2024</w:t>
      </w:r>
      <w:r w:rsidR="00097844">
        <w:t>.</w:t>
      </w:r>
      <w:r>
        <w:t xml:space="preserve"> </w:t>
      </w:r>
      <w:r w:rsidR="00097844">
        <w:t xml:space="preserve">It sets </w:t>
      </w:r>
      <w:r>
        <w:t xml:space="preserve">out the actions that the new UK Government </w:t>
      </w:r>
      <w:r w:rsidR="00097844">
        <w:t xml:space="preserve">should </w:t>
      </w:r>
      <w:r>
        <w:t xml:space="preserve">take to protect Disabled residents from fire and </w:t>
      </w:r>
      <w:r w:rsidR="00F30A56">
        <w:t xml:space="preserve">to </w:t>
      </w:r>
      <w:r>
        <w:t>create a housing stock that truly meets our needs.</w:t>
      </w:r>
    </w:p>
    <w:p w14:paraId="5B0C829E" w14:textId="611DC727" w:rsidR="00E63B4B" w:rsidRDefault="00E63B4B">
      <w:r>
        <w:t>As organisations and professionals representing Disabled people, we pay tribute to Grenfell survivors and bereaved families for their tireless struggle for justice. We mourn the deaths of all</w:t>
      </w:r>
      <w:r w:rsidR="00323263">
        <w:t xml:space="preserve"> those</w:t>
      </w:r>
      <w:r>
        <w:t xml:space="preserve"> who avoidably died in the Grenfell Tower fire. We acknowledge the disproportionate deaths of Disabled residents.</w:t>
      </w:r>
    </w:p>
    <w:p w14:paraId="4026AAA6" w14:textId="7D08BA8F" w:rsidR="00097844" w:rsidRDefault="00E63B4B">
      <w:r>
        <w:t>The appalling actions perpetrated by central and local government, building owners and managers</w:t>
      </w:r>
      <w:r w:rsidR="00F27D81">
        <w:t xml:space="preserve"> </w:t>
      </w:r>
      <w:r w:rsidR="0081041A">
        <w:t>and private</w:t>
      </w:r>
      <w:r>
        <w:t xml:space="preserve"> construction </w:t>
      </w:r>
      <w:r w:rsidR="00F27D81">
        <w:t xml:space="preserve">companies, failed </w:t>
      </w:r>
      <w:r w:rsidR="00507B37">
        <w:t>t</w:t>
      </w:r>
      <w:r w:rsidR="00F27D81">
        <w:t xml:space="preserve">o uphold the values of </w:t>
      </w:r>
      <w:r w:rsidR="00097844">
        <w:t>equity</w:t>
      </w:r>
      <w:r w:rsidR="00F30A56">
        <w:t xml:space="preserve"> decency and respect, putting </w:t>
      </w:r>
      <w:r w:rsidR="00F27D81">
        <w:t xml:space="preserve">profit before </w:t>
      </w:r>
      <w:r w:rsidR="00F30A56">
        <w:t>people</w:t>
      </w:r>
      <w:r w:rsidR="00F27D81">
        <w:t>. Racism and disablism</w:t>
      </w:r>
      <w:r w:rsidR="001161E6">
        <w:t xml:space="preserve"> were </w:t>
      </w:r>
      <w:r w:rsidR="00097844">
        <w:t>strong contributors</w:t>
      </w:r>
      <w:r w:rsidR="00F30A56">
        <w:t xml:space="preserve"> to the events that led to the fire, including the many ways in which the views and complaints of residents were devalued, disregarded and ignored.  </w:t>
      </w:r>
      <w:r w:rsidR="001161E6">
        <w:t xml:space="preserve"> </w:t>
      </w:r>
    </w:p>
    <w:p w14:paraId="53D63582" w14:textId="19C24368" w:rsidR="00201D4A" w:rsidRDefault="00097844">
      <w:r>
        <w:t xml:space="preserve">We welcome the commitment of the new UK Government to ensure that such an event never happens again. </w:t>
      </w:r>
    </w:p>
    <w:p w14:paraId="63C1EB89" w14:textId="2E57A326" w:rsidR="0018025E" w:rsidRDefault="00F30A56" w:rsidP="0018025E">
      <w:r>
        <w:t>In pursuit of this aim, w</w:t>
      </w:r>
      <w:r w:rsidR="00097844">
        <w:t xml:space="preserve">e ask that the following actions </w:t>
      </w:r>
      <w:r w:rsidR="0018025E">
        <w:t xml:space="preserve">are </w:t>
      </w:r>
      <w:r w:rsidR="00097844">
        <w:t>taken</w:t>
      </w:r>
      <w:r w:rsidR="0018025E">
        <w:t xml:space="preserve">. </w:t>
      </w:r>
    </w:p>
    <w:p w14:paraId="018B2456" w14:textId="0E82262C" w:rsidR="00097844" w:rsidRDefault="003E3E48">
      <w:r>
        <w:rPr>
          <w:b/>
          <w:bCs/>
        </w:rPr>
        <w:t xml:space="preserve">Implement the </w:t>
      </w:r>
      <w:r w:rsidR="00E36C71">
        <w:rPr>
          <w:b/>
          <w:bCs/>
        </w:rPr>
        <w:t>Personal Emergency Evacuation Plans (</w:t>
      </w:r>
      <w:r w:rsidR="00476B2B" w:rsidRPr="009C1C3D">
        <w:rPr>
          <w:b/>
          <w:bCs/>
        </w:rPr>
        <w:t>PEEPs</w:t>
      </w:r>
      <w:r w:rsidR="00E36C71">
        <w:rPr>
          <w:b/>
          <w:bCs/>
        </w:rPr>
        <w:t>)</w:t>
      </w:r>
      <w:r>
        <w:rPr>
          <w:b/>
          <w:bCs/>
        </w:rPr>
        <w:t xml:space="preserve"> recommendation</w:t>
      </w:r>
    </w:p>
    <w:p w14:paraId="3B956443" w14:textId="550B6E2A" w:rsidR="004A4D6E" w:rsidRPr="00C70745" w:rsidRDefault="00993809" w:rsidP="004A4D6E">
      <w:r w:rsidRPr="00C70745">
        <w:t>W</w:t>
      </w:r>
      <w:r w:rsidR="004A4D6E" w:rsidRPr="00C70745">
        <w:t>e call on the Government to take immediate steps to amend the</w:t>
      </w:r>
      <w:r w:rsidR="004A4D6E" w:rsidRPr="00C70745">
        <w:rPr>
          <w:rFonts w:cstheme="minorHAnsi"/>
          <w14:ligatures w14:val="standardContextual"/>
        </w:rPr>
        <w:t xml:space="preserve"> </w:t>
      </w:r>
      <w:r w:rsidR="004A4D6E" w:rsidRPr="00C70745">
        <w:t>Fire Safety (England) Regulations 2022 to impose a clear and specific duty on responsible persons (owners or managers) to prepare a PEEP for anyone who needs support, assistance or aids in order to evacuate to a place of safety in case of fire.</w:t>
      </w:r>
      <w:r w:rsidR="004A4D6E" w:rsidRPr="0089303C">
        <w:t xml:space="preserve"> </w:t>
      </w:r>
      <w:r w:rsidR="00C971BF">
        <w:t>Responsible persons</w:t>
      </w:r>
      <w:r w:rsidR="004A4D6E" w:rsidRPr="00C70745">
        <w:t xml:space="preserve"> must use best endeavours to ensure that PEEPs are drawn up for anyone who needs them, including surveying their residents to ensure that no one is excluded.</w:t>
      </w:r>
    </w:p>
    <w:p w14:paraId="01C64594" w14:textId="7026EB9A" w:rsidR="004346D1" w:rsidRDefault="0027508C" w:rsidP="00CC7509">
      <w:r>
        <w:t>Since 2005</w:t>
      </w:r>
      <w:r w:rsidR="00B306D1">
        <w:t xml:space="preserve">, the </w:t>
      </w:r>
      <w:r w:rsidR="00DC1A7F">
        <w:t>‘</w:t>
      </w:r>
      <w:r w:rsidR="00B306D1">
        <w:t>responsible person</w:t>
      </w:r>
      <w:r w:rsidR="00DC1A7F">
        <w:t>’</w:t>
      </w:r>
      <w:r w:rsidR="00B306D1">
        <w:t xml:space="preserve"> for </w:t>
      </w:r>
      <w:r w:rsidR="004346D1">
        <w:t xml:space="preserve">a </w:t>
      </w:r>
      <w:r w:rsidR="00DC1A7F">
        <w:t xml:space="preserve">residential </w:t>
      </w:r>
      <w:r w:rsidR="00E55C27">
        <w:t>block under</w:t>
      </w:r>
      <w:r w:rsidR="0056393F">
        <w:t xml:space="preserve"> the Fire Safety </w:t>
      </w:r>
      <w:r w:rsidR="001510A2">
        <w:t>Order</w:t>
      </w:r>
      <w:r w:rsidR="006944DC">
        <w:rPr>
          <w:rStyle w:val="FootnoteReference"/>
        </w:rPr>
        <w:footnoteReference w:id="2"/>
      </w:r>
      <w:r w:rsidR="001510A2">
        <w:t xml:space="preserve"> </w:t>
      </w:r>
      <w:r w:rsidR="004346D1">
        <w:t>(</w:t>
      </w:r>
      <w:r w:rsidR="001510A2">
        <w:t xml:space="preserve">the </w:t>
      </w:r>
      <w:r w:rsidR="004346D1">
        <w:t>o</w:t>
      </w:r>
      <w:r w:rsidR="009B1571">
        <w:t>wner and</w:t>
      </w:r>
      <w:r w:rsidR="004346D1">
        <w:t>/or</w:t>
      </w:r>
      <w:r w:rsidR="009B1571">
        <w:t xml:space="preserve"> manager</w:t>
      </w:r>
      <w:r w:rsidR="004346D1">
        <w:t>)</w:t>
      </w:r>
      <w:r w:rsidR="009B1571">
        <w:t xml:space="preserve"> </w:t>
      </w:r>
      <w:r w:rsidR="00A50116">
        <w:t>has</w:t>
      </w:r>
      <w:r w:rsidR="00204BE4">
        <w:t xml:space="preserve"> had</w:t>
      </w:r>
      <w:r w:rsidR="009B1571">
        <w:t xml:space="preserve"> a duty to ensure that </w:t>
      </w:r>
      <w:r w:rsidR="000A4D27">
        <w:t>D</w:t>
      </w:r>
      <w:r w:rsidR="009B1571">
        <w:t xml:space="preserve">isabled people can evacuate blocks of flats as quickly and safely as possible. </w:t>
      </w:r>
    </w:p>
    <w:p w14:paraId="18C04902" w14:textId="43F5A2FC" w:rsidR="008463FD" w:rsidRDefault="008463FD" w:rsidP="00B71245">
      <w:r>
        <w:t>The Phase 2 Report explains that “</w:t>
      </w:r>
      <w:r w:rsidR="003634AE" w:rsidRPr="003634AE">
        <w:t xml:space="preserve">In the Phase 1 report </w:t>
      </w:r>
      <w:r w:rsidR="003634AE">
        <w:t xml:space="preserve">[published on </w:t>
      </w:r>
      <w:r w:rsidR="003634AE" w:rsidRPr="002530B9">
        <w:t>30 October 2019</w:t>
      </w:r>
      <w:r w:rsidR="003634AE">
        <w:t>]</w:t>
      </w:r>
      <w:r w:rsidR="003634AE" w:rsidRPr="003634AE">
        <w:t>, the Chairman recommended that the owner and manager of every high-rise residential building be required by law to prepare personal emergency evacuation plans (PEEPs) for all residents whose ability to escape may be compromised, such as persons with reduced mobility or cognition. Disabled people were particularly affected by the speed and ferocity of the Grenfell Tower fire.</w:t>
      </w:r>
      <w:r w:rsidR="003634AE">
        <w:t>” (14.2</w:t>
      </w:r>
      <w:r w:rsidR="00F212EC">
        <w:rPr>
          <w:rStyle w:val="FootnoteReference"/>
        </w:rPr>
        <w:footnoteReference w:id="3"/>
      </w:r>
      <w:r w:rsidR="003634AE">
        <w:t>)</w:t>
      </w:r>
    </w:p>
    <w:p w14:paraId="19EA73F8" w14:textId="6341D6F4" w:rsidR="00C464C6" w:rsidRDefault="00D64EA0" w:rsidP="00CC7509">
      <w:r>
        <w:lastRenderedPageBreak/>
        <w:t xml:space="preserve">The </w:t>
      </w:r>
      <w:r w:rsidR="00473E9A">
        <w:t>widescale disregard of existing duties</w:t>
      </w:r>
      <w:r w:rsidR="00D12AF1">
        <w:t xml:space="preserve"> which led to that recommendation i</w:t>
      </w:r>
      <w:r w:rsidR="00473E9A">
        <w:t xml:space="preserve">s </w:t>
      </w:r>
      <w:r>
        <w:t xml:space="preserve">laid bare </w:t>
      </w:r>
      <w:r w:rsidR="00473E9A">
        <w:t xml:space="preserve">in GTI’s </w:t>
      </w:r>
      <w:r w:rsidR="00FE1C45">
        <w:t>Phase 2 R</w:t>
      </w:r>
      <w:r w:rsidR="00473E9A">
        <w:t>eport</w:t>
      </w:r>
      <w:r w:rsidR="00642264">
        <w:t xml:space="preserve">. </w:t>
      </w:r>
      <w:r w:rsidR="006B69D2">
        <w:t xml:space="preserve">It found that </w:t>
      </w:r>
      <w:r w:rsidR="000B334E">
        <w:t>“</w:t>
      </w:r>
      <w:r w:rsidR="00BD3693" w:rsidRPr="00BD3693">
        <w:t xml:space="preserve">the TMO </w:t>
      </w:r>
      <w:r w:rsidR="00012D79">
        <w:t>[Tenant Management Organisation</w:t>
      </w:r>
      <w:r w:rsidR="00A17AB7">
        <w:t xml:space="preserve">] </w:t>
      </w:r>
      <w:r w:rsidR="00BD3693" w:rsidRPr="00BD3693">
        <w:t xml:space="preserve">at the highest level was aware from as early as 2009 of the need to consider the arrangements for the safe evacuation of disabled people and, </w:t>
      </w:r>
      <w:r w:rsidR="001F3728">
        <w:t xml:space="preserve">… </w:t>
      </w:r>
      <w:r w:rsidR="00BD3693" w:rsidRPr="00BD3693">
        <w:t xml:space="preserve"> RBKC </w:t>
      </w:r>
      <w:r w:rsidR="000C7DDA">
        <w:t xml:space="preserve">[Royal Borough of Kensington and Chelsea] </w:t>
      </w:r>
      <w:r w:rsidR="00BD3693" w:rsidRPr="00BD3693">
        <w:t>was itself fully aware of the fact</w:t>
      </w:r>
      <w:r w:rsidR="001F3728">
        <w:t>”</w:t>
      </w:r>
      <w:r w:rsidR="00BD3693" w:rsidRPr="00BD3693">
        <w:t>.</w:t>
      </w:r>
      <w:r w:rsidR="00AC423E">
        <w:t xml:space="preserve"> (</w:t>
      </w:r>
      <w:r w:rsidR="006A7101">
        <w:t>46.23)</w:t>
      </w:r>
    </w:p>
    <w:p w14:paraId="0D0DDFAF" w14:textId="57ED96D2" w:rsidR="00AF30CA" w:rsidRDefault="00AC423E" w:rsidP="00CC7509">
      <w:r>
        <w:t>D</w:t>
      </w:r>
      <w:r w:rsidR="00642264">
        <w:t xml:space="preserve">espite misleading representations to the </w:t>
      </w:r>
      <w:r w:rsidR="00633817">
        <w:t>London Fire Brigade (</w:t>
      </w:r>
      <w:r w:rsidR="00642264">
        <w:t>LFB</w:t>
      </w:r>
      <w:r w:rsidR="00633817">
        <w:t>)</w:t>
      </w:r>
      <w:r w:rsidR="00963684">
        <w:t xml:space="preserve"> that the PEEPs duty was being complied with</w:t>
      </w:r>
      <w:r w:rsidR="00642264">
        <w:t xml:space="preserve">, </w:t>
      </w:r>
      <w:r w:rsidR="00387A99">
        <w:t xml:space="preserve">neither RBKC nor the </w:t>
      </w:r>
      <w:r w:rsidR="00AC3739">
        <w:t>TMO</w:t>
      </w:r>
      <w:r w:rsidR="00387A99">
        <w:t xml:space="preserve"> </w:t>
      </w:r>
      <w:r w:rsidR="004D64F3">
        <w:t xml:space="preserve">took any effective steps to </w:t>
      </w:r>
      <w:r w:rsidR="00963684">
        <w:t>draw up</w:t>
      </w:r>
      <w:r w:rsidR="004D64F3">
        <w:t xml:space="preserve"> PEEPs </w:t>
      </w:r>
      <w:r w:rsidR="00D63AB3">
        <w:t xml:space="preserve">to enable </w:t>
      </w:r>
      <w:r w:rsidR="00747275">
        <w:t>D</w:t>
      </w:r>
      <w:r w:rsidR="00104736">
        <w:t>isabled</w:t>
      </w:r>
      <w:r w:rsidR="004D64F3">
        <w:t xml:space="preserve"> residents</w:t>
      </w:r>
      <w:r w:rsidR="00104736">
        <w:t xml:space="preserve"> to evacuate in case of fire</w:t>
      </w:r>
      <w:r w:rsidR="004D64F3">
        <w:t xml:space="preserve">. </w:t>
      </w:r>
    </w:p>
    <w:p w14:paraId="5345D398" w14:textId="5061E2F0" w:rsidR="00CC7509" w:rsidRPr="00CC7509" w:rsidRDefault="00304562" w:rsidP="00CC7509">
      <w:r>
        <w:t xml:space="preserve">The </w:t>
      </w:r>
      <w:r w:rsidR="00C2580C">
        <w:t>Report</w:t>
      </w:r>
      <w:r>
        <w:t xml:space="preserve"> found that </w:t>
      </w:r>
      <w:r w:rsidR="00CC7509">
        <w:t>“</w:t>
      </w:r>
      <w:r w:rsidR="00CC7509" w:rsidRPr="00CC7509">
        <w:t xml:space="preserve">RBKC and the TMO were jointly responsible for the management of fire safety at Grenfell Tower. </w:t>
      </w:r>
      <w:r w:rsidR="00CC7509" w:rsidRPr="00BC01B4">
        <w:t>The years between 2009 and 2017 were marked by a persistent indifference to fire safety, particularly the safety of vulnerable people.</w:t>
      </w:r>
      <w:r w:rsidR="00CC7509" w:rsidRPr="00CC7509">
        <w:t>”</w:t>
      </w:r>
      <w:r w:rsidR="00B47CBA">
        <w:t xml:space="preserve"> (2.58)</w:t>
      </w:r>
      <w:r w:rsidR="0073382C">
        <w:t xml:space="preserve"> </w:t>
      </w:r>
      <w:r w:rsidR="00D21073">
        <w:t>It concluded that “</w:t>
      </w:r>
      <w:r w:rsidR="00D21073" w:rsidRPr="00D21073">
        <w:t>On any view, the Grenfell Tower fire revealed the importance of ensuring that the responsible person collects sufficient information about any vulnerable occupants to enable PEEPs to be prepared, when appropriate, and, in the event of a fire, appropriate measures to be taken to assist their escape. The TMO’s failure to collect such information illustrates a basic neglect of its obligations in relation to fire safety</w:t>
      </w:r>
      <w:r w:rsidR="00D21073">
        <w:t>”</w:t>
      </w:r>
      <w:r w:rsidR="00D21073" w:rsidRPr="00D21073">
        <w:t>.</w:t>
      </w:r>
      <w:r w:rsidR="00D21073">
        <w:t xml:space="preserve"> (46.90)</w:t>
      </w:r>
    </w:p>
    <w:p w14:paraId="1F865617" w14:textId="4FC02C5C" w:rsidR="00FE5E69" w:rsidRDefault="006D75B0" w:rsidP="00FE5E69">
      <w:r>
        <w:t>We welcome the Prime Minister’s commitment</w:t>
      </w:r>
      <w:r w:rsidR="005A4031">
        <w:t>,</w:t>
      </w:r>
      <w:r>
        <w:t xml:space="preserve"> </w:t>
      </w:r>
      <w:r w:rsidR="004A7816">
        <w:t xml:space="preserve">in </w:t>
      </w:r>
      <w:r w:rsidR="00E417D1">
        <w:t xml:space="preserve">his statement responding </w:t>
      </w:r>
      <w:r w:rsidR="004A7816">
        <w:t xml:space="preserve">to </w:t>
      </w:r>
      <w:r w:rsidR="00740763">
        <w:t xml:space="preserve">publication of </w:t>
      </w:r>
      <w:r w:rsidR="004A7816">
        <w:t>the Phase 2 re</w:t>
      </w:r>
      <w:r w:rsidR="00E82AB5">
        <w:t>port</w:t>
      </w:r>
      <w:r w:rsidR="005A4031">
        <w:t>,</w:t>
      </w:r>
      <w:r>
        <w:t xml:space="preserve"> </w:t>
      </w:r>
      <w:r w:rsidR="00375409">
        <w:t xml:space="preserve">that the Government would now address the Phase 1 recommendation </w:t>
      </w:r>
      <w:r w:rsidR="003637A5">
        <w:t xml:space="preserve">on </w:t>
      </w:r>
      <w:r w:rsidR="00FB6FD7">
        <w:t>PEEPs</w:t>
      </w:r>
      <w:r w:rsidR="003F7BFF">
        <w:t xml:space="preserve"> (</w:t>
      </w:r>
      <w:r w:rsidR="00BA1B90">
        <w:t>House of Commons, 4 September 2024)</w:t>
      </w:r>
      <w:r w:rsidR="009C0019">
        <w:t xml:space="preserve">. </w:t>
      </w:r>
      <w:r w:rsidR="003D615C">
        <w:t>Such a</w:t>
      </w:r>
      <w:r w:rsidR="009C0019">
        <w:t xml:space="preserve"> </w:t>
      </w:r>
      <w:r w:rsidR="00610AE5">
        <w:t xml:space="preserve">clear commitment </w:t>
      </w:r>
      <w:r w:rsidR="006F0ED1">
        <w:t xml:space="preserve">is a welcome contrast </w:t>
      </w:r>
      <w:r w:rsidR="00E645D1">
        <w:t xml:space="preserve">to </w:t>
      </w:r>
      <w:r w:rsidR="00FE7876">
        <w:t xml:space="preserve">the </w:t>
      </w:r>
      <w:r w:rsidR="006F0ED1">
        <w:t xml:space="preserve">previous governments </w:t>
      </w:r>
      <w:r w:rsidR="00E645D1">
        <w:t xml:space="preserve">that </w:t>
      </w:r>
      <w:r w:rsidR="003D615C">
        <w:t>have</w:t>
      </w:r>
      <w:r w:rsidR="006F0ED1">
        <w:t xml:space="preserve"> </w:t>
      </w:r>
      <w:r w:rsidR="003637A5">
        <w:t xml:space="preserve">unforgivably and repeatedly </w:t>
      </w:r>
      <w:r w:rsidR="00B572B6">
        <w:t xml:space="preserve">avoided </w:t>
      </w:r>
      <w:r w:rsidR="006F0ED1">
        <w:t>implement</w:t>
      </w:r>
      <w:r w:rsidR="00FB6FD7">
        <w:t xml:space="preserve">ing the </w:t>
      </w:r>
      <w:r w:rsidR="003207F2">
        <w:t xml:space="preserve">GTI’s </w:t>
      </w:r>
      <w:r w:rsidR="00FB6FD7">
        <w:t>PEEPs recommendation</w:t>
      </w:r>
      <w:r w:rsidR="00FE7876" w:rsidRPr="00FE7876">
        <w:t xml:space="preserve"> </w:t>
      </w:r>
      <w:r w:rsidR="00D27636">
        <w:t>for almost</w:t>
      </w:r>
      <w:r w:rsidR="00FE7876">
        <w:t xml:space="preserve"> five years</w:t>
      </w:r>
      <w:r w:rsidR="009D56DE">
        <w:t xml:space="preserve"> since it was issued</w:t>
      </w:r>
      <w:r w:rsidR="009C0019">
        <w:t xml:space="preserve">. </w:t>
      </w:r>
    </w:p>
    <w:p w14:paraId="6C0966B8" w14:textId="72EBD3E3" w:rsidR="005D7B14" w:rsidRDefault="005D7B14" w:rsidP="005D7B14">
      <w:r>
        <w:t xml:space="preserve">While we welcome any further proposals by government departments to expand on measures to enhance the safety of Disabled residents, </w:t>
      </w:r>
      <w:r w:rsidR="00953A8B">
        <w:t>these</w:t>
      </w:r>
      <w:r>
        <w:t xml:space="preserve"> should not delay the immediate implementation of the measure set out above in the first paragraph of this section. </w:t>
      </w:r>
    </w:p>
    <w:p w14:paraId="70B223E7" w14:textId="718F27CF" w:rsidR="008D42E7" w:rsidRDefault="008D42E7" w:rsidP="008D42E7">
      <w:pPr>
        <w:rPr>
          <w:b/>
          <w:bCs/>
        </w:rPr>
      </w:pPr>
      <w:r>
        <w:t xml:space="preserve">The Building Safety Regulator already provides guidance on how to survey residents to identify those who are Disabled or vulnerable, including inclusive measures to meet duties imposed by the Equality Act 2010. There can be no excuse for failing to do so, or arguing that it is too hard. </w:t>
      </w:r>
    </w:p>
    <w:p w14:paraId="3E225D24" w14:textId="71C3538F" w:rsidR="00AE67AD" w:rsidRDefault="00BE7208" w:rsidP="00CA19FD">
      <w:r>
        <w:t xml:space="preserve">As GTI’s Report shows, close to half (43.25%) of Disabled adults present in Grenfell Tower on the night of the fire were killed. None of them had been provided with a PEEP. By the time the TMO supplied its inadequate list of vulnerable residents to the LFB, they were all dead. </w:t>
      </w:r>
      <w:r w:rsidR="00CA19FD">
        <w:t xml:space="preserve">Only </w:t>
      </w:r>
      <w:r w:rsidR="000E4338">
        <w:t xml:space="preserve">by </w:t>
      </w:r>
      <w:r w:rsidR="00E22897">
        <w:t xml:space="preserve">imposing </w:t>
      </w:r>
      <w:r w:rsidR="003D2958">
        <w:t>this</w:t>
      </w:r>
      <w:r w:rsidR="00B966D4">
        <w:t xml:space="preserve"> </w:t>
      </w:r>
      <w:r w:rsidR="0023675C">
        <w:t xml:space="preserve">duty </w:t>
      </w:r>
      <w:r w:rsidR="006A066A">
        <w:t>i</w:t>
      </w:r>
      <w:r w:rsidR="00CA19FD">
        <w:t>n</w:t>
      </w:r>
      <w:r w:rsidR="003D2958">
        <w:t>to regulations</w:t>
      </w:r>
      <w:r w:rsidR="000E4338">
        <w:t xml:space="preserve"> </w:t>
      </w:r>
      <w:r w:rsidR="00116150">
        <w:t>in black and white,</w:t>
      </w:r>
      <w:r w:rsidR="0019311C">
        <w:t xml:space="preserve"> without delay,</w:t>
      </w:r>
      <w:r w:rsidR="000E4338">
        <w:t xml:space="preserve"> will the Government </w:t>
      </w:r>
      <w:r w:rsidR="00BD52E4">
        <w:t>m</w:t>
      </w:r>
      <w:r w:rsidR="00EA4FC8">
        <w:t>eet</w:t>
      </w:r>
      <w:r w:rsidR="00B86B9E">
        <w:t xml:space="preserve"> the urgency and seriousness of the situation where </w:t>
      </w:r>
      <w:r w:rsidR="00EC7335">
        <w:t xml:space="preserve">the PM said that </w:t>
      </w:r>
      <w:r w:rsidR="00B86B9E">
        <w:t xml:space="preserve">Disabled people </w:t>
      </w:r>
      <w:r w:rsidR="00BA0738">
        <w:t>“are housed in circumstances in which they clearly need an evacuation plan”</w:t>
      </w:r>
      <w:r w:rsidR="00116150">
        <w:t xml:space="preserve"> (</w:t>
      </w:r>
      <w:r w:rsidR="00C128FC">
        <w:t>House of Commons</w:t>
      </w:r>
      <w:r w:rsidR="00116150">
        <w:t>, 4 September 2024)</w:t>
      </w:r>
      <w:r w:rsidR="00E417D1">
        <w:t>.</w:t>
      </w:r>
    </w:p>
    <w:p w14:paraId="5AFE4B9C" w14:textId="5C94B9F7" w:rsidR="004405FC" w:rsidRDefault="002A5490" w:rsidP="00FE3224">
      <w:r>
        <w:lastRenderedPageBreak/>
        <w:t xml:space="preserve">Every Disabled individual that needs support to evacuate a residential building should be able to coproduce </w:t>
      </w:r>
      <w:r w:rsidR="0096770B">
        <w:t>the</w:t>
      </w:r>
      <w:r w:rsidR="0080492A">
        <w:t>ir</w:t>
      </w:r>
      <w:r w:rsidR="0096770B">
        <w:t xml:space="preserve"> PEEP</w:t>
      </w:r>
      <w:r w:rsidR="009647B1">
        <w:t xml:space="preserve">. They must be </w:t>
      </w:r>
      <w:r w:rsidR="00B70296">
        <w:t>consulted on all elements</w:t>
      </w:r>
      <w:r w:rsidR="00AB02DC">
        <w:t xml:space="preserve">. </w:t>
      </w:r>
      <w:r w:rsidR="00EC1078">
        <w:t xml:space="preserve">However, </w:t>
      </w:r>
      <w:r w:rsidR="00386324">
        <w:t xml:space="preserve">the responsible person must not </w:t>
      </w:r>
      <w:r w:rsidR="008A1666">
        <w:t>try to avoid</w:t>
      </w:r>
      <w:r w:rsidR="000239CC">
        <w:t xml:space="preserve"> their</w:t>
      </w:r>
      <w:r w:rsidR="00533B35">
        <w:t xml:space="preserve"> duty</w:t>
      </w:r>
      <w:r w:rsidR="00386324">
        <w:t xml:space="preserve"> </w:t>
      </w:r>
      <w:r w:rsidR="005A7484">
        <w:t xml:space="preserve">to enable safe evacuation from their building </w:t>
      </w:r>
      <w:r w:rsidR="00825383">
        <w:t>by shifting</w:t>
      </w:r>
      <w:r w:rsidR="006479AC">
        <w:t xml:space="preserve"> the burden of evacuation planning </w:t>
      </w:r>
      <w:r w:rsidR="005A7484">
        <w:t xml:space="preserve">onto the shoulders of the </w:t>
      </w:r>
      <w:r w:rsidR="004853D3">
        <w:t>D</w:t>
      </w:r>
      <w:r w:rsidR="005A7484">
        <w:t xml:space="preserve">isabled resident. </w:t>
      </w:r>
    </w:p>
    <w:p w14:paraId="30907572" w14:textId="343B61FA" w:rsidR="00FE3224" w:rsidRDefault="00035051" w:rsidP="00FE3224">
      <w:r>
        <w:t>Nor may they</w:t>
      </w:r>
      <w:r w:rsidR="00E62982">
        <w:t xml:space="preserve"> avoid the duty to have an evacuation plan</w:t>
      </w:r>
      <w:r w:rsidR="00C335DC">
        <w:t xml:space="preserve"> by relying on the </w:t>
      </w:r>
      <w:r w:rsidR="00451519">
        <w:t>Fire and Rescue Service (</w:t>
      </w:r>
      <w:r w:rsidR="00C335DC">
        <w:t>FRS</w:t>
      </w:r>
      <w:r w:rsidR="00451519">
        <w:t>)</w:t>
      </w:r>
      <w:r w:rsidR="00C335DC">
        <w:t xml:space="preserve"> to rescue these residents from burning blocks. </w:t>
      </w:r>
      <w:r w:rsidR="004153FA">
        <w:t xml:space="preserve">The </w:t>
      </w:r>
      <w:r w:rsidR="00174675">
        <w:t xml:space="preserve">consequences of </w:t>
      </w:r>
      <w:r w:rsidR="0033385D" w:rsidRPr="0033385D">
        <w:t xml:space="preserve">expecting disabled people to await FRS </w:t>
      </w:r>
      <w:r w:rsidR="007F2CD7">
        <w:t xml:space="preserve">were </w:t>
      </w:r>
      <w:r w:rsidR="0033385D" w:rsidRPr="0033385D">
        <w:t xml:space="preserve">illustrated by the evidence </w:t>
      </w:r>
      <w:r w:rsidR="0058285C">
        <w:t xml:space="preserve">in the GTI </w:t>
      </w:r>
      <w:r w:rsidR="0033385D" w:rsidRPr="0033385D">
        <w:t xml:space="preserve">of Mariko Toyoshima-Lewis, a </w:t>
      </w:r>
      <w:r w:rsidR="00852E46">
        <w:t xml:space="preserve">resident of the Tower and </w:t>
      </w:r>
      <w:r w:rsidR="0033385D" w:rsidRPr="0033385D">
        <w:t>wheelchair user</w:t>
      </w:r>
      <w:r w:rsidR="00397150">
        <w:t xml:space="preserve">. On the night of the fire, she </w:t>
      </w:r>
      <w:r w:rsidR="0033385D" w:rsidRPr="0033385D">
        <w:t>told her family to go without her</w:t>
      </w:r>
      <w:r w:rsidR="0074726D">
        <w:t xml:space="preserve">. She </w:t>
      </w:r>
      <w:r w:rsidR="0033385D" w:rsidRPr="0033385D">
        <w:t xml:space="preserve">remained, thinking she would die, until </w:t>
      </w:r>
      <w:r w:rsidR="005A5FF3">
        <w:t>being</w:t>
      </w:r>
      <w:r w:rsidR="00C72B99">
        <w:t xml:space="preserve"> </w:t>
      </w:r>
      <w:r w:rsidR="00AB779D" w:rsidRPr="0033385D">
        <w:t xml:space="preserve">dragged downstairs by fire fighters </w:t>
      </w:r>
      <w:r w:rsidR="005A5FF3">
        <w:t xml:space="preserve">in </w:t>
      </w:r>
      <w:r w:rsidR="0033385D" w:rsidRPr="0033385D">
        <w:t xml:space="preserve">a last minute, terrifying, and painful rescue. That was not some aberration. That disabled people should be left behind to hope for FRS rescue was what the </w:t>
      </w:r>
      <w:r w:rsidR="007E40DF">
        <w:t>last government</w:t>
      </w:r>
      <w:r w:rsidR="0033385D" w:rsidRPr="0033385D">
        <w:t xml:space="preserve"> </w:t>
      </w:r>
      <w:r w:rsidR="007E40DF">
        <w:t xml:space="preserve">expressly advocated </w:t>
      </w:r>
      <w:r w:rsidR="0033385D" w:rsidRPr="0033385D">
        <w:t>in its rejection of th</w:t>
      </w:r>
      <w:r w:rsidR="007E40DF">
        <w:t xml:space="preserve">e Phase 1 </w:t>
      </w:r>
      <w:r w:rsidR="0033385D" w:rsidRPr="0033385D">
        <w:t>PEEPs recommendation.</w:t>
      </w:r>
      <w:r w:rsidR="007E40DF">
        <w:t xml:space="preserve"> </w:t>
      </w:r>
      <w:r w:rsidR="004853D3">
        <w:t>D</w:t>
      </w:r>
      <w:r w:rsidR="00FD3AF4">
        <w:t xml:space="preserve">isabled residents </w:t>
      </w:r>
      <w:r w:rsidR="002834B7">
        <w:t>must be</w:t>
      </w:r>
      <w:r w:rsidR="003822BF">
        <w:t xml:space="preserve"> entitled to </w:t>
      </w:r>
      <w:r w:rsidR="003B02CB">
        <w:t xml:space="preserve">equal </w:t>
      </w:r>
      <w:r w:rsidR="007E40DF">
        <w:t>treatment</w:t>
      </w:r>
      <w:r w:rsidR="002834B7">
        <w:t>, including the right</w:t>
      </w:r>
      <w:r w:rsidR="007E40DF">
        <w:t xml:space="preserve"> </w:t>
      </w:r>
      <w:r w:rsidR="003B02CB">
        <w:t>to</w:t>
      </w:r>
      <w:r w:rsidR="00FD3AF4">
        <w:t xml:space="preserve"> evacuate alongside nondisabled </w:t>
      </w:r>
      <w:r w:rsidR="003B02CB">
        <w:t>residents</w:t>
      </w:r>
      <w:r w:rsidR="003D2C19">
        <w:t xml:space="preserve"> and not be left behind</w:t>
      </w:r>
      <w:r w:rsidR="003A4EB0">
        <w:t>.</w:t>
      </w:r>
    </w:p>
    <w:p w14:paraId="5685BFDE" w14:textId="111FC947" w:rsidR="000A339B" w:rsidRPr="00C70745" w:rsidRDefault="002B76D4" w:rsidP="00FE3224">
      <w:pPr>
        <w:rPr>
          <w:b/>
          <w:bCs/>
        </w:rPr>
      </w:pPr>
      <w:r w:rsidRPr="00C70745">
        <w:rPr>
          <w:b/>
          <w:bCs/>
        </w:rPr>
        <w:t>Any proposals must</w:t>
      </w:r>
      <w:r w:rsidR="00F26434" w:rsidRPr="00C70745">
        <w:rPr>
          <w:b/>
          <w:bCs/>
        </w:rPr>
        <w:t xml:space="preserve"> be </w:t>
      </w:r>
      <w:r w:rsidR="0029306C" w:rsidRPr="00C70745">
        <w:rPr>
          <w:b/>
          <w:bCs/>
        </w:rPr>
        <w:t>developed</w:t>
      </w:r>
      <w:r w:rsidR="00F26434" w:rsidRPr="00C70745">
        <w:rPr>
          <w:b/>
          <w:bCs/>
        </w:rPr>
        <w:t xml:space="preserve"> in collaboration with Disabled people</w:t>
      </w:r>
    </w:p>
    <w:p w14:paraId="4A29D1E8" w14:textId="181CED49" w:rsidR="003E0326" w:rsidRDefault="004E23F6" w:rsidP="00CA19FD">
      <w:r>
        <w:t>D</w:t>
      </w:r>
      <w:r w:rsidR="00366CFC">
        <w:t xml:space="preserve">isabled </w:t>
      </w:r>
      <w:r w:rsidR="00600100">
        <w:t>People’s O</w:t>
      </w:r>
      <w:r w:rsidR="00366CFC">
        <w:t xml:space="preserve">rganisations </w:t>
      </w:r>
      <w:r w:rsidR="005B64F3">
        <w:t xml:space="preserve">(DPOs) </w:t>
      </w:r>
      <w:r>
        <w:t>should</w:t>
      </w:r>
      <w:r w:rsidR="00366CFC">
        <w:t xml:space="preserve"> be </w:t>
      </w:r>
      <w:r>
        <w:t>involved</w:t>
      </w:r>
      <w:r w:rsidR="00366CFC">
        <w:t xml:space="preserve"> in </w:t>
      </w:r>
      <w:r w:rsidR="0029306C">
        <w:t xml:space="preserve">developing </w:t>
      </w:r>
      <w:r w:rsidR="00C31101">
        <w:t xml:space="preserve">any </w:t>
      </w:r>
      <w:r w:rsidR="006F730C">
        <w:t xml:space="preserve">further </w:t>
      </w:r>
      <w:r w:rsidR="00366CFC">
        <w:t>proposals</w:t>
      </w:r>
      <w:r w:rsidR="006F730C">
        <w:t xml:space="preserve"> relating to </w:t>
      </w:r>
      <w:r w:rsidR="00387DFD">
        <w:t>the safety of disabled resident</w:t>
      </w:r>
      <w:r w:rsidR="00034C3B">
        <w:t xml:space="preserve">s </w:t>
      </w:r>
      <w:r w:rsidR="00E27D28">
        <w:t xml:space="preserve">from the outset and not </w:t>
      </w:r>
      <w:r w:rsidR="003E0326">
        <w:t xml:space="preserve">merely </w:t>
      </w:r>
      <w:r w:rsidR="00197CFD">
        <w:t>after</w:t>
      </w:r>
      <w:r w:rsidR="00E27D28">
        <w:t xml:space="preserve"> </w:t>
      </w:r>
      <w:r w:rsidR="0029306C">
        <w:t xml:space="preserve">they </w:t>
      </w:r>
      <w:r w:rsidR="00197CFD">
        <w:t>have already been developed and</w:t>
      </w:r>
      <w:r w:rsidR="00E27D28">
        <w:t xml:space="preserve"> published for consultation</w:t>
      </w:r>
      <w:r w:rsidR="00686180">
        <w:t xml:space="preserve">. </w:t>
      </w:r>
    </w:p>
    <w:p w14:paraId="08CB0431" w14:textId="77777777" w:rsidR="006C14E2" w:rsidRDefault="00CA19FD" w:rsidP="00CA19FD">
      <w:r>
        <w:t xml:space="preserve">The Report </w:t>
      </w:r>
      <w:r w:rsidR="00372F57">
        <w:t>la</w:t>
      </w:r>
      <w:r w:rsidR="003C16CF">
        <w:t>ys</w:t>
      </w:r>
      <w:r w:rsidR="00372F57">
        <w:t xml:space="preserve"> bare the results of the failure to consult Disabled people in the creation of guidance affecting their fire safety over the decade before the Fire</w:t>
      </w:r>
      <w:r w:rsidR="00B86802">
        <w:t xml:space="preserve">. </w:t>
      </w:r>
      <w:r w:rsidR="00372F57">
        <w:t xml:space="preserve"> </w:t>
      </w:r>
    </w:p>
    <w:p w14:paraId="15E5939A" w14:textId="77679675" w:rsidR="00F356B1" w:rsidRDefault="00AE3BA8" w:rsidP="00CA19FD">
      <w:r>
        <w:t xml:space="preserve">In the wake of the Lakanal House fire, the Government </w:t>
      </w:r>
      <w:r w:rsidR="00EB1B9E">
        <w:t>(the DCLG</w:t>
      </w:r>
      <w:r w:rsidR="00484433">
        <w:t xml:space="preserve"> then</w:t>
      </w:r>
      <w:r w:rsidR="00EB1B9E">
        <w:t xml:space="preserve"> being the responsible </w:t>
      </w:r>
      <w:r w:rsidR="004805DE">
        <w:t xml:space="preserve">department) </w:t>
      </w:r>
      <w:r>
        <w:t xml:space="preserve">engaged a predecessor of the LGA to draft ‘guidance’ to landlords and responsible persons </w:t>
      </w:r>
      <w:r w:rsidR="00701A70">
        <w:t xml:space="preserve">on </w:t>
      </w:r>
      <w:r w:rsidR="00EB7FBD">
        <w:t xml:space="preserve">fire safety in blocks of flats. The work was delegated to </w:t>
      </w:r>
      <w:r w:rsidR="00115258">
        <w:t xml:space="preserve">C S Todd and Associates. </w:t>
      </w:r>
    </w:p>
    <w:p w14:paraId="0B76CDD5" w14:textId="6E04DABF" w:rsidR="006627BC" w:rsidRDefault="00D6323E" w:rsidP="00CA19FD">
      <w:r>
        <w:t xml:space="preserve">In light </w:t>
      </w:r>
      <w:r w:rsidR="002676F7">
        <w:t xml:space="preserve">of </w:t>
      </w:r>
      <w:r w:rsidR="00F0295C">
        <w:t xml:space="preserve">how </w:t>
      </w:r>
      <w:r w:rsidR="009B5CD8">
        <w:t>Disabled people were “particularly affected” by the fire</w:t>
      </w:r>
      <w:r w:rsidR="00A9385C">
        <w:t xml:space="preserve">, </w:t>
      </w:r>
      <w:r w:rsidR="00E771EC">
        <w:t>the GTI</w:t>
      </w:r>
      <w:r w:rsidR="00E94E78">
        <w:t xml:space="preserve"> explained </w:t>
      </w:r>
      <w:r w:rsidR="006C3A90">
        <w:t>that “</w:t>
      </w:r>
      <w:r w:rsidR="00446647" w:rsidRPr="00446647">
        <w:t xml:space="preserve">we explored why the LGA Guide advised landlords and responsible persons that it was usually unrealistic to plan for the evacuation and assistance in the event of a fire of disabled and vulnerable residents living in </w:t>
      </w:r>
      <w:r w:rsidR="006C3A90">
        <w:t xml:space="preserve">… </w:t>
      </w:r>
      <w:r w:rsidR="00446647" w:rsidRPr="00446647">
        <w:t>blocks of flats</w:t>
      </w:r>
      <w:r w:rsidR="006C3A90">
        <w:t xml:space="preserve"> </w:t>
      </w:r>
      <w:r w:rsidR="00446647" w:rsidRPr="00446647">
        <w:t>such as Grenfell Tower</w:t>
      </w:r>
      <w:r w:rsidR="009B2B2E">
        <w:t>.” (14.2)</w:t>
      </w:r>
      <w:r w:rsidR="00446647" w:rsidRPr="00446647">
        <w:t xml:space="preserve"> </w:t>
      </w:r>
    </w:p>
    <w:p w14:paraId="52C88650" w14:textId="1AB1E6B6" w:rsidR="00253E39" w:rsidRDefault="00115258" w:rsidP="00CA19FD">
      <w:r>
        <w:t xml:space="preserve">Although the guidance was developed under the auspices of the </w:t>
      </w:r>
      <w:r w:rsidR="00311A3B">
        <w:t>Government</w:t>
      </w:r>
      <w:r w:rsidR="0029306C">
        <w:t>,</w:t>
      </w:r>
      <w:r w:rsidR="003B1ADF">
        <w:t xml:space="preserve"> </w:t>
      </w:r>
      <w:r w:rsidR="00C1720E">
        <w:t>no DPO or disability specialist was in</w:t>
      </w:r>
      <w:r w:rsidR="00824AE7">
        <w:t>vited to take part</w:t>
      </w:r>
      <w:r w:rsidR="00E80C43">
        <w:t xml:space="preserve"> in the project group</w:t>
      </w:r>
      <w:r w:rsidR="000B292E">
        <w:t>. There was “</w:t>
      </w:r>
      <w:r w:rsidR="003E0259" w:rsidRPr="003E0259">
        <w:t>a detailed and wide-ranging consultatio</w:t>
      </w:r>
      <w:r w:rsidR="003E0259">
        <w:t xml:space="preserve">n” yet </w:t>
      </w:r>
      <w:r w:rsidR="008D4C38">
        <w:t>“</w:t>
      </w:r>
      <w:r w:rsidR="00F50CCA" w:rsidRPr="00F50CCA">
        <w:t xml:space="preserve">neither the </w:t>
      </w:r>
      <w:r>
        <w:t xml:space="preserve">department </w:t>
      </w:r>
      <w:r w:rsidR="00F50CCA" w:rsidRPr="00F50CCA">
        <w:t xml:space="preserve">nor </w:t>
      </w:r>
      <w:r w:rsidR="00E90229">
        <w:t xml:space="preserve">C S Todd </w:t>
      </w:r>
      <w:r w:rsidR="009F487B">
        <w:t xml:space="preserve">and Associates </w:t>
      </w:r>
      <w:r w:rsidR="00F50CCA" w:rsidRPr="00F50CCA">
        <w:t>took any steps to ensure that the views of organisations representing the disabled and the vulnerable were sought</w:t>
      </w:r>
      <w:r w:rsidR="00F50CCA">
        <w:t xml:space="preserve">”. </w:t>
      </w:r>
      <w:r w:rsidR="009801F7">
        <w:t xml:space="preserve">Even when </w:t>
      </w:r>
      <w:r w:rsidR="005227A2">
        <w:t>“</w:t>
      </w:r>
      <w:r w:rsidR="005227A2" w:rsidRPr="005227A2">
        <w:t xml:space="preserve">the Chief Fire Officers Association said that not to include advice on the evacuation of disabled people was a </w:t>
      </w:r>
      <w:r w:rsidR="005227A2" w:rsidRPr="005227A2">
        <w:lastRenderedPageBreak/>
        <w:t>fundamental error</w:t>
      </w:r>
      <w:r w:rsidR="005227A2">
        <w:t xml:space="preserve">”, </w:t>
      </w:r>
      <w:r w:rsidR="00D41445">
        <w:t xml:space="preserve">the GTI could not determine </w:t>
      </w:r>
      <w:r w:rsidR="00F82977">
        <w:t>“</w:t>
      </w:r>
      <w:r w:rsidR="00665D2E" w:rsidRPr="00665D2E">
        <w:t>whether that particular question was discussed</w:t>
      </w:r>
      <w:r w:rsidR="00665D2E">
        <w:t>” and “</w:t>
      </w:r>
      <w:r w:rsidR="00AF5614" w:rsidRPr="00AF5614">
        <w:t>In any event, a disability specialist or someone who could represent those who were disabled and vulnerable was not appointed to assist</w:t>
      </w:r>
      <w:r w:rsidR="00CF1BA9">
        <w:t>”</w:t>
      </w:r>
      <w:r w:rsidR="001C051C">
        <w:t>. T</w:t>
      </w:r>
      <w:r w:rsidR="008E3D49">
        <w:t xml:space="preserve">he </w:t>
      </w:r>
      <w:r w:rsidR="00757F22">
        <w:t>response of the Chief Fire Officers “</w:t>
      </w:r>
      <w:r w:rsidR="00803215" w:rsidRPr="00803215">
        <w:t>was either considered and rejected or simply ignored</w:t>
      </w:r>
      <w:r w:rsidR="00803215">
        <w:t>”</w:t>
      </w:r>
      <w:r w:rsidR="001C051C">
        <w:t>. (14.5-6) T</w:t>
      </w:r>
      <w:r w:rsidR="009F487B">
        <w:t xml:space="preserve">he lack of </w:t>
      </w:r>
      <w:r w:rsidR="001C051C">
        <w:t>consideration of the position of disabled residents</w:t>
      </w:r>
      <w:r w:rsidR="009F487B">
        <w:t xml:space="preserve"> </w:t>
      </w:r>
      <w:r w:rsidR="001C051C">
        <w:t>made</w:t>
      </w:r>
      <w:r w:rsidR="009F487B">
        <w:t xml:space="preserve"> it impossible </w:t>
      </w:r>
      <w:r w:rsidR="009F3B33">
        <w:t xml:space="preserve">even </w:t>
      </w:r>
      <w:r w:rsidR="009F487B">
        <w:t>to tell which</w:t>
      </w:r>
      <w:r w:rsidR="009F3B33">
        <w:t xml:space="preserve"> applied</w:t>
      </w:r>
      <w:r w:rsidR="001C051C">
        <w:t>.</w:t>
      </w:r>
      <w:r w:rsidR="00803215">
        <w:t xml:space="preserve"> </w:t>
      </w:r>
    </w:p>
    <w:p w14:paraId="0873EDDB" w14:textId="62EE69D6" w:rsidR="00CA19FD" w:rsidRDefault="006B75C2" w:rsidP="00CA19FD">
      <w:r>
        <w:t xml:space="preserve">Following publication, </w:t>
      </w:r>
      <w:r w:rsidR="007813E6">
        <w:t xml:space="preserve">Elspeth Grant, a fire safety and disability specialist, </w:t>
      </w:r>
      <w:r w:rsidR="00196749">
        <w:t xml:space="preserve">wrote </w:t>
      </w:r>
      <w:r w:rsidR="003116A5">
        <w:t>that</w:t>
      </w:r>
      <w:r w:rsidR="00196749">
        <w:t xml:space="preserve"> </w:t>
      </w:r>
      <w:r w:rsidR="00340AE8">
        <w:t xml:space="preserve">the </w:t>
      </w:r>
      <w:r w:rsidR="00E35139">
        <w:t>guidance that</w:t>
      </w:r>
      <w:r w:rsidR="00340AE8">
        <w:t xml:space="preserve"> </w:t>
      </w:r>
      <w:r w:rsidR="00F35BA6">
        <w:t xml:space="preserve">landlords </w:t>
      </w:r>
      <w:r w:rsidR="000867D3">
        <w:t>need not</w:t>
      </w:r>
      <w:r w:rsidR="00F35BA6">
        <w:t xml:space="preserve"> </w:t>
      </w:r>
      <w:r w:rsidR="00D4679A">
        <w:t xml:space="preserve">have a </w:t>
      </w:r>
      <w:r w:rsidR="00F35BA6">
        <w:t>plan for the evacuation of disabled residents</w:t>
      </w:r>
      <w:r w:rsidR="00915EB2">
        <w:t xml:space="preserve"> </w:t>
      </w:r>
      <w:r w:rsidR="002D1BBD">
        <w:t>“</w:t>
      </w:r>
      <w:r w:rsidR="001D2F57" w:rsidRPr="001D2F57">
        <w:t>encouraged readers to ignore the Fire Safety Order and to breach international and domestic law on equality and fire safety</w:t>
      </w:r>
      <w:r w:rsidR="008E4A1B">
        <w:t xml:space="preserve"> and to breach</w:t>
      </w:r>
      <w:r w:rsidR="002D1BBD">
        <w:t xml:space="preserve"> international </w:t>
      </w:r>
      <w:r w:rsidR="007E0751">
        <w:t>and domestic law on fire safety</w:t>
      </w:r>
      <w:r w:rsidR="008E4A1B">
        <w:t xml:space="preserve"> [and] </w:t>
      </w:r>
      <w:r w:rsidR="00A320E6">
        <w:t>reflected an outdated viewpoint, and was discriminatory”</w:t>
      </w:r>
      <w:r w:rsidR="00E64808">
        <w:t>.</w:t>
      </w:r>
      <w:r w:rsidR="00A320E6">
        <w:t xml:space="preserve"> </w:t>
      </w:r>
      <w:r w:rsidR="00B74D8A">
        <w:t xml:space="preserve">(14.8) </w:t>
      </w:r>
      <w:r w:rsidR="00F212EC">
        <w:t>T</w:t>
      </w:r>
      <w:r w:rsidR="00A320E6">
        <w:t>he Government</w:t>
      </w:r>
      <w:r w:rsidR="000B3D9D">
        <w:t xml:space="preserve"> sought no advice </w:t>
      </w:r>
      <w:r w:rsidR="000413C0">
        <w:t xml:space="preserve">on whether </w:t>
      </w:r>
      <w:r w:rsidR="00947446">
        <w:t>this</w:t>
      </w:r>
      <w:r w:rsidR="000413C0">
        <w:t xml:space="preserve"> </w:t>
      </w:r>
      <w:r w:rsidR="00B71773">
        <w:t>“</w:t>
      </w:r>
      <w:r w:rsidR="000413C0">
        <w:t>allegation of unlawful discrimination was well-foun</w:t>
      </w:r>
      <w:r w:rsidR="009F10ED">
        <w:t>ded</w:t>
      </w:r>
      <w:r w:rsidR="00B71773">
        <w:t xml:space="preserve"> or not”</w:t>
      </w:r>
      <w:r w:rsidR="00923759">
        <w:t>. The Report finds that</w:t>
      </w:r>
      <w:r w:rsidR="009F10ED">
        <w:t xml:space="preserve"> “The response of the </w:t>
      </w:r>
      <w:r w:rsidR="00225DB0">
        <w:t xml:space="preserve">department </w:t>
      </w:r>
      <w:r w:rsidR="00B84795">
        <w:t>to Ms Grant’s letter</w:t>
      </w:r>
      <w:r w:rsidR="00225DB0">
        <w:t xml:space="preserve"> </w:t>
      </w:r>
      <w:r w:rsidR="00AE5446">
        <w:t>w</w:t>
      </w:r>
      <w:r w:rsidR="00225DB0">
        <w:t xml:space="preserve">as wholly </w:t>
      </w:r>
      <w:r w:rsidR="00DE4CED">
        <w:t>unsatisfactory; it was</w:t>
      </w:r>
      <w:r w:rsidR="000867D3">
        <w:t>, in effect, simply brushed aside</w:t>
      </w:r>
      <w:r w:rsidR="00304693">
        <w:t>.</w:t>
      </w:r>
      <w:r w:rsidR="000867D3">
        <w:t xml:space="preserve">” </w:t>
      </w:r>
      <w:r w:rsidR="00497A50">
        <w:t>(14.10)</w:t>
      </w:r>
      <w:r w:rsidR="00CA19FD">
        <w:t xml:space="preserve"> </w:t>
      </w:r>
    </w:p>
    <w:p w14:paraId="3A64DA79" w14:textId="698C3622" w:rsidR="00455111" w:rsidRDefault="00440F23" w:rsidP="00CA19FD">
      <w:r>
        <w:t>Subse</w:t>
      </w:r>
      <w:r w:rsidR="00723F9E">
        <w:t>quent guidance (BS</w:t>
      </w:r>
      <w:r w:rsidR="0088440D">
        <w:t xml:space="preserve"> 9991)</w:t>
      </w:r>
      <w:r w:rsidR="00112B1D">
        <w:t xml:space="preserve"> was published</w:t>
      </w:r>
      <w:r w:rsidR="00CD4875">
        <w:t xml:space="preserve"> </w:t>
      </w:r>
      <w:r w:rsidR="00EC1749">
        <w:t xml:space="preserve">emphasising the need to </w:t>
      </w:r>
      <w:r w:rsidR="00FF1ABA">
        <w:t>“pay particular attention to the needs of disabled people</w:t>
      </w:r>
      <w:r w:rsidR="00570F31">
        <w:t>” and that “</w:t>
      </w:r>
      <w:r w:rsidR="00365A65">
        <w:t>many people living in standard accommodation have a range of impairments</w:t>
      </w:r>
      <w:r w:rsidR="00D6391D">
        <w:t xml:space="preserve"> that could affect their ability to evacuate”</w:t>
      </w:r>
      <w:r w:rsidR="00112B1D">
        <w:t>. T</w:t>
      </w:r>
      <w:r w:rsidR="00DF7CBC">
        <w:t xml:space="preserve">he </w:t>
      </w:r>
      <w:r w:rsidR="007475C2">
        <w:t xml:space="preserve">Report </w:t>
      </w:r>
      <w:r w:rsidR="001C05D7">
        <w:t>finds that “</w:t>
      </w:r>
      <w:r w:rsidR="0035024B">
        <w:t>i</w:t>
      </w:r>
      <w:r w:rsidR="006566EE" w:rsidRPr="006566EE">
        <w:t>t is surprising and disappointing</w:t>
      </w:r>
      <w:r w:rsidR="0035024B">
        <w:t xml:space="preserve"> …</w:t>
      </w:r>
      <w:r w:rsidR="006566EE" w:rsidRPr="006566EE">
        <w:t xml:space="preserve"> that the department failed to recognise</w:t>
      </w:r>
      <w:r w:rsidR="006566EE">
        <w:t xml:space="preserve">” the </w:t>
      </w:r>
      <w:r w:rsidR="00172129">
        <w:t xml:space="preserve">“very different approach” </w:t>
      </w:r>
      <w:r w:rsidR="004C6F84">
        <w:t>compared to the LGA Guide</w:t>
      </w:r>
      <w:r w:rsidR="00172129">
        <w:t xml:space="preserve">, and the failure to </w:t>
      </w:r>
      <w:r w:rsidR="009804DD">
        <w:t xml:space="preserve">reconcile </w:t>
      </w:r>
      <w:r w:rsidR="004C6F84">
        <w:t>the two</w:t>
      </w:r>
      <w:r w:rsidR="004477FB">
        <w:t xml:space="preserve"> </w:t>
      </w:r>
      <w:r w:rsidR="003F15A9">
        <w:t>was “a significant oversight”</w:t>
      </w:r>
      <w:r w:rsidR="004C6F84">
        <w:t xml:space="preserve"> by the Government</w:t>
      </w:r>
      <w:r w:rsidR="00CC635F">
        <w:t>.</w:t>
      </w:r>
      <w:r w:rsidR="00135EB6">
        <w:t xml:space="preserve"> (14.12-3)</w:t>
      </w:r>
    </w:p>
    <w:p w14:paraId="14987F50" w14:textId="4B8FCC6B" w:rsidR="005D4A4A" w:rsidRDefault="00951F86" w:rsidP="00CA19FD">
      <w:r>
        <w:t xml:space="preserve">The </w:t>
      </w:r>
      <w:r w:rsidR="001274AF">
        <w:t>Government</w:t>
      </w:r>
      <w:r w:rsidR="00700F9C">
        <w:t xml:space="preserve"> </w:t>
      </w:r>
      <w:r w:rsidR="0021424D">
        <w:t xml:space="preserve">then </w:t>
      </w:r>
      <w:r w:rsidR="00700F9C">
        <w:t xml:space="preserve">received a </w:t>
      </w:r>
      <w:r w:rsidR="00D146E4">
        <w:t xml:space="preserve">draft </w:t>
      </w:r>
      <w:r w:rsidR="00125D9C">
        <w:t xml:space="preserve">internal </w:t>
      </w:r>
      <w:r w:rsidR="00D146E4">
        <w:t xml:space="preserve">report on the </w:t>
      </w:r>
      <w:r w:rsidR="00B62B13">
        <w:t xml:space="preserve">published </w:t>
      </w:r>
      <w:r w:rsidR="00D146E4">
        <w:t>guidance expressing</w:t>
      </w:r>
      <w:r w:rsidR="00125D9C">
        <w:t xml:space="preserve"> concern</w:t>
      </w:r>
      <w:r w:rsidR="00B62B13">
        <w:t>s</w:t>
      </w:r>
      <w:r w:rsidR="001C729C">
        <w:t xml:space="preserve">, similar </w:t>
      </w:r>
      <w:r w:rsidR="00B62B13">
        <w:t>to those</w:t>
      </w:r>
      <w:r w:rsidR="001C729C">
        <w:t xml:space="preserve"> that it had already b</w:t>
      </w:r>
      <w:r w:rsidR="00865185">
        <w:t>r</w:t>
      </w:r>
      <w:r w:rsidR="001C729C">
        <w:t>ushed aside,</w:t>
      </w:r>
      <w:r w:rsidR="00125D9C">
        <w:t xml:space="preserve"> </w:t>
      </w:r>
      <w:r w:rsidR="00D5562E">
        <w:t xml:space="preserve">about </w:t>
      </w:r>
      <w:r w:rsidR="004103FF">
        <w:t>“</w:t>
      </w:r>
      <w:r w:rsidR="004103FF" w:rsidRPr="004103FF">
        <w:t>a failure of the government to understand that disabled people could not escape from flats without help in the event of a fire and that more guidance was needed on the provision of PEEPs for residents known to have difficulty escaping or to be unable to escape</w:t>
      </w:r>
      <w:r w:rsidR="007C2D4B">
        <w:t xml:space="preserve"> … blocks of flats without assistance</w:t>
      </w:r>
      <w:r w:rsidR="001C729C">
        <w:t>”</w:t>
      </w:r>
      <w:r w:rsidR="007C2D4B">
        <w:t xml:space="preserve">. </w:t>
      </w:r>
      <w:r w:rsidR="008A2320">
        <w:t>T</w:t>
      </w:r>
      <w:r w:rsidR="00886EC9">
        <w:t xml:space="preserve">he Report </w:t>
      </w:r>
      <w:r w:rsidR="00D65AC3">
        <w:t xml:space="preserve">found that </w:t>
      </w:r>
      <w:r w:rsidR="0057119F">
        <w:t xml:space="preserve">the Government </w:t>
      </w:r>
      <w:r w:rsidR="00455111">
        <w:t>“considered</w:t>
      </w:r>
      <w:r w:rsidR="00E90F78" w:rsidRPr="00E90F78">
        <w:t xml:space="preserve"> it too difficult to find a solution to the problem posed by vulnerable persons who could not escape from purpose-built general needs blocks of flats without assistance</w:t>
      </w:r>
      <w:r w:rsidR="00E90F78">
        <w:t xml:space="preserve">” </w:t>
      </w:r>
      <w:r w:rsidR="005D4A4A">
        <w:t>(14.</w:t>
      </w:r>
      <w:r w:rsidR="0039450F">
        <w:t>14-</w:t>
      </w:r>
      <w:r w:rsidR="005D4A4A">
        <w:t>5)</w:t>
      </w:r>
    </w:p>
    <w:p w14:paraId="31091CE2" w14:textId="28DB137A" w:rsidR="00951F86" w:rsidRDefault="005D4A4A" w:rsidP="00CA19FD">
      <w:r>
        <w:t xml:space="preserve">The way that the </w:t>
      </w:r>
      <w:r w:rsidR="00B62B13">
        <w:t xml:space="preserve">rights and </w:t>
      </w:r>
      <w:r w:rsidR="00D534D9">
        <w:t>risks to life</w:t>
      </w:r>
      <w:r>
        <w:t xml:space="preserve"> of disabled people were “brushed aside” by the Government </w:t>
      </w:r>
      <w:r w:rsidR="0086775C">
        <w:t xml:space="preserve">and viewed as </w:t>
      </w:r>
      <w:r w:rsidR="00117B2E">
        <w:t>“too difficult” reflects a culture of indifference in the years leading up to the fire</w:t>
      </w:r>
      <w:r w:rsidR="0033770B">
        <w:t xml:space="preserve"> which</w:t>
      </w:r>
      <w:r w:rsidR="00117B2E">
        <w:t xml:space="preserve"> was enabled by the consistent failure to involve DPOs and Disabled people and specialist</w:t>
      </w:r>
      <w:r w:rsidR="00C0447F">
        <w:t>s</w:t>
      </w:r>
      <w:r w:rsidR="00452A66">
        <w:t>.</w:t>
      </w:r>
    </w:p>
    <w:p w14:paraId="1649C181" w14:textId="03ED5B1E" w:rsidR="00452A66" w:rsidRDefault="00D07F47" w:rsidP="00CA19FD">
      <w:r>
        <w:t>By</w:t>
      </w:r>
      <w:r w:rsidR="00C01AEB">
        <w:t xml:space="preserve"> committing</w:t>
      </w:r>
      <w:r w:rsidRPr="00D07F47">
        <w:t xml:space="preserve"> to collaborating with Disabled people on all further proposals</w:t>
      </w:r>
      <w:r w:rsidR="00E452DA">
        <w:t>, the Government</w:t>
      </w:r>
      <w:r w:rsidRPr="00D07F47">
        <w:t xml:space="preserve"> </w:t>
      </w:r>
      <w:r w:rsidR="00D96922">
        <w:t>can</w:t>
      </w:r>
      <w:r w:rsidRPr="00D07F47">
        <w:t xml:space="preserve"> stand against </w:t>
      </w:r>
      <w:r w:rsidR="006727FF">
        <w:t>the neglect,</w:t>
      </w:r>
      <w:r w:rsidRPr="00D07F47">
        <w:t xml:space="preserve"> indifference</w:t>
      </w:r>
      <w:r w:rsidR="006727FF">
        <w:t>, an</w:t>
      </w:r>
      <w:r w:rsidR="0099330C">
        <w:t>d</w:t>
      </w:r>
      <w:r w:rsidR="006727FF">
        <w:t xml:space="preserve"> discrimination</w:t>
      </w:r>
      <w:r w:rsidRPr="00D07F47">
        <w:t xml:space="preserve"> of the past</w:t>
      </w:r>
      <w:r w:rsidR="00D93D43">
        <w:t>.</w:t>
      </w:r>
    </w:p>
    <w:p w14:paraId="491C7C30" w14:textId="2BDFC38A" w:rsidR="00D67920" w:rsidRPr="009C1C3D" w:rsidRDefault="003C0F21">
      <w:pPr>
        <w:rPr>
          <w:b/>
          <w:bCs/>
        </w:rPr>
      </w:pPr>
      <w:r w:rsidRPr="009C1C3D">
        <w:rPr>
          <w:b/>
          <w:bCs/>
        </w:rPr>
        <w:t>Extend</w:t>
      </w:r>
      <w:r w:rsidR="000B152B" w:rsidRPr="009C1C3D">
        <w:rPr>
          <w:b/>
          <w:bCs/>
        </w:rPr>
        <w:t xml:space="preserve"> the definition of </w:t>
      </w:r>
      <w:r w:rsidR="00816E87" w:rsidRPr="009C1C3D">
        <w:rPr>
          <w:b/>
          <w:bCs/>
        </w:rPr>
        <w:t>higher</w:t>
      </w:r>
      <w:r w:rsidR="00A46B21" w:rsidRPr="009C1C3D">
        <w:rPr>
          <w:b/>
          <w:bCs/>
        </w:rPr>
        <w:t>-risk buildings</w:t>
      </w:r>
    </w:p>
    <w:p w14:paraId="48D6625D" w14:textId="5B23C228" w:rsidR="00B441DE" w:rsidRDefault="001B3AFA">
      <w:r>
        <w:lastRenderedPageBreak/>
        <w:t xml:space="preserve">GTI </w:t>
      </w:r>
      <w:r w:rsidR="00506C10">
        <w:t>recommended that “the definition of</w:t>
      </w:r>
      <w:r w:rsidR="00E80DE8" w:rsidRPr="00E80DE8">
        <w:t xml:space="preserve"> a higher-risk building for the purposes of the Building Safety Act </w:t>
      </w:r>
      <w:r w:rsidR="00E80DE8" w:rsidRPr="009C1C3D">
        <w:rPr>
          <w:i/>
          <w:iCs/>
        </w:rPr>
        <w:t>be reviewed urgently</w:t>
      </w:r>
      <w:r w:rsidR="00506C10">
        <w:t>”</w:t>
      </w:r>
      <w:r w:rsidR="00076235">
        <w:t xml:space="preserve"> (emphasis added)</w:t>
      </w:r>
      <w:r w:rsidR="00E80DE8" w:rsidRPr="00E80DE8">
        <w:t>.</w:t>
      </w:r>
      <w:r w:rsidR="00506C10">
        <w:t xml:space="preserve"> </w:t>
      </w:r>
      <w:r w:rsidR="00CF0086">
        <w:t>It</w:t>
      </w:r>
      <w:r w:rsidR="00D25A90">
        <w:t xml:space="preserve"> </w:t>
      </w:r>
      <w:r w:rsidR="00BA31D8">
        <w:t xml:space="preserve">concluded that it was unsatisfactory </w:t>
      </w:r>
      <w:r w:rsidR="007E7335">
        <w:t>“</w:t>
      </w:r>
      <w:r w:rsidR="00F17AB3" w:rsidRPr="00A17C13">
        <w:t>to define a building as “higher-risk” by reference only to its height</w:t>
      </w:r>
      <w:r w:rsidR="00FE18F6">
        <w:t>” which was “</w:t>
      </w:r>
      <w:r w:rsidR="00F17AB3" w:rsidRPr="00A17C13">
        <w:t xml:space="preserve">essentially arbitrary in </w:t>
      </w:r>
      <w:r w:rsidR="003510B0" w:rsidRPr="00A17C13">
        <w:t>nature</w:t>
      </w:r>
      <w:r w:rsidR="003510B0" w:rsidRPr="00C70745">
        <w:t>”</w:t>
      </w:r>
      <w:r w:rsidR="003510B0" w:rsidRPr="00BA31D8">
        <w:t xml:space="preserve"> </w:t>
      </w:r>
      <w:r w:rsidR="003510B0" w:rsidRPr="003510B0">
        <w:rPr>
          <w:i/>
          <w:iCs/>
        </w:rPr>
        <w:t xml:space="preserve"> </w:t>
      </w:r>
      <w:r w:rsidR="0057545D">
        <w:t>because</w:t>
      </w:r>
      <w:r w:rsidR="007E7335" w:rsidRPr="009C1C3D">
        <w:rPr>
          <w:i/>
          <w:iCs/>
        </w:rPr>
        <w:t xml:space="preserve"> </w:t>
      </w:r>
      <w:r w:rsidR="007E7335" w:rsidRPr="00D30E61">
        <w:t>“m</w:t>
      </w:r>
      <w:r w:rsidR="00F17AB3" w:rsidRPr="00D30E61">
        <w:t>ore relevant is the nature of its use and, in particular, the likely presence of vulnerable people, for whom evacuation in the event of a fire or other emergency would be likely to present difficulty</w:t>
      </w:r>
      <w:r w:rsidR="0064396D" w:rsidRPr="00D30E61">
        <w:t>”</w:t>
      </w:r>
      <w:r w:rsidR="00F17AB3" w:rsidRPr="00D30E61">
        <w:t xml:space="preserve">. </w:t>
      </w:r>
      <w:r w:rsidR="00A13F2A">
        <w:t>(113.7)</w:t>
      </w:r>
    </w:p>
    <w:p w14:paraId="66E84DE7" w14:textId="74C8E4B5" w:rsidR="0057545D" w:rsidRDefault="0057545D">
      <w:r>
        <w:t xml:space="preserve">The Government must act </w:t>
      </w:r>
      <w:r w:rsidR="00EC00E1">
        <w:t xml:space="preserve">immediately </w:t>
      </w:r>
      <w:r w:rsidR="00BE4A54">
        <w:t xml:space="preserve">on </w:t>
      </w:r>
      <w:r w:rsidR="00EC00E1">
        <w:t xml:space="preserve">what the GTI emphasised was an </w:t>
      </w:r>
      <w:r w:rsidR="001D4D3F">
        <w:t>“</w:t>
      </w:r>
      <w:r w:rsidR="00BE4A54">
        <w:t>urgent</w:t>
      </w:r>
      <w:r w:rsidR="001D4D3F">
        <w:t>”</w:t>
      </w:r>
      <w:r w:rsidR="00BE4A54">
        <w:t xml:space="preserve"> recommendation. </w:t>
      </w:r>
    </w:p>
    <w:p w14:paraId="77023B5F" w14:textId="74830DE8" w:rsidR="00097844" w:rsidRDefault="00D00482">
      <w:r>
        <w:t>We</w:t>
      </w:r>
      <w:r w:rsidR="00B35F29">
        <w:t xml:space="preserve"> call on the Government to </w:t>
      </w:r>
      <w:r w:rsidR="00826281">
        <w:t xml:space="preserve">extend the </w:t>
      </w:r>
      <w:r w:rsidR="008D3690">
        <w:t>PEEP</w:t>
      </w:r>
      <w:r w:rsidR="00F026FC">
        <w:t xml:space="preserve">s </w:t>
      </w:r>
      <w:r w:rsidR="000A60D6">
        <w:t>requirement</w:t>
      </w:r>
      <w:r w:rsidR="008D3690">
        <w:t xml:space="preserve"> to all </w:t>
      </w:r>
      <w:r w:rsidR="00767485">
        <w:t xml:space="preserve">residential blocks </w:t>
      </w:r>
      <w:r w:rsidR="00353161">
        <w:t xml:space="preserve">housing disabled residents </w:t>
      </w:r>
      <w:r w:rsidR="00767485">
        <w:t>to which the Fire Safety Order applies</w:t>
      </w:r>
      <w:r w:rsidR="008D3690">
        <w:t>.</w:t>
      </w:r>
    </w:p>
    <w:p w14:paraId="01F483A0" w14:textId="6FCE7FB4" w:rsidR="00FC5ACE" w:rsidRDefault="00E2508C">
      <w:pPr>
        <w:rPr>
          <w:b/>
          <w:bCs/>
        </w:rPr>
      </w:pPr>
      <w:r>
        <w:rPr>
          <w:b/>
          <w:bCs/>
        </w:rPr>
        <w:t xml:space="preserve">Acknowledge </w:t>
      </w:r>
      <w:r w:rsidR="004853D3">
        <w:rPr>
          <w:b/>
          <w:bCs/>
        </w:rPr>
        <w:t>D</w:t>
      </w:r>
      <w:r w:rsidR="000909A1">
        <w:rPr>
          <w:b/>
          <w:bCs/>
        </w:rPr>
        <w:t>isabled people in l</w:t>
      </w:r>
      <w:r w:rsidR="00FC5ACE">
        <w:rPr>
          <w:b/>
          <w:bCs/>
        </w:rPr>
        <w:t>egislation</w:t>
      </w:r>
      <w:r w:rsidR="00C72D22">
        <w:rPr>
          <w:b/>
          <w:bCs/>
        </w:rPr>
        <w:t xml:space="preserve"> and </w:t>
      </w:r>
      <w:r w:rsidR="00FC5ACE">
        <w:rPr>
          <w:b/>
          <w:bCs/>
        </w:rPr>
        <w:t>guidance</w:t>
      </w:r>
      <w:r w:rsidR="00AA72F5">
        <w:rPr>
          <w:b/>
          <w:bCs/>
        </w:rPr>
        <w:t xml:space="preserve"> </w:t>
      </w:r>
      <w:r w:rsidR="00C72D22">
        <w:rPr>
          <w:b/>
          <w:bCs/>
        </w:rPr>
        <w:t>on</w:t>
      </w:r>
      <w:r w:rsidR="00AA72F5">
        <w:rPr>
          <w:b/>
          <w:bCs/>
        </w:rPr>
        <w:t xml:space="preserve"> fire safety strategy</w:t>
      </w:r>
    </w:p>
    <w:p w14:paraId="582D0093" w14:textId="7C4825A3" w:rsidR="00D916DF" w:rsidRDefault="005835F2">
      <w:r>
        <w:t xml:space="preserve">The </w:t>
      </w:r>
      <w:r w:rsidR="00AE2A55">
        <w:t>Report states</w:t>
      </w:r>
      <w:r>
        <w:t xml:space="preserve"> that </w:t>
      </w:r>
      <w:r w:rsidR="008D007B">
        <w:t>“</w:t>
      </w:r>
      <w:r w:rsidR="00112CB1" w:rsidRPr="009C1C3D">
        <w:t>One thing that has emerged clearly from our investigations is that in order to ensure the safety of occupants, including any with physical or mental impairments, those who design high-rise buildings need to be aware of the relationship between the rate at which fire is likely to spread through the external walls and the time required to evacuate the building or the relevant parts of it</w:t>
      </w:r>
      <w:r w:rsidR="00486546">
        <w:t>”.</w:t>
      </w:r>
      <w:r w:rsidR="00CA664E">
        <w:t xml:space="preserve"> </w:t>
      </w:r>
      <w:r w:rsidR="00AF39D8">
        <w:t xml:space="preserve">It </w:t>
      </w:r>
      <w:r w:rsidR="00AE2A55">
        <w:t xml:space="preserve">concludes </w:t>
      </w:r>
      <w:r w:rsidR="00C855A2">
        <w:t>that</w:t>
      </w:r>
      <w:r w:rsidR="00E22FFE">
        <w:t xml:space="preserve"> “</w:t>
      </w:r>
      <w:r w:rsidR="00121AD4">
        <w:t>Calculating</w:t>
      </w:r>
      <w:r w:rsidR="00112CB1" w:rsidRPr="009C1C3D">
        <w:t xml:space="preserve"> the likely rate of fire spread and the time required for evacuation, including the evacuation of those with physical or mental impairments, are matters for a qualified fire engineer</w:t>
      </w:r>
      <w:r w:rsidR="001D109C">
        <w:t>”</w:t>
      </w:r>
      <w:r w:rsidR="006F6EF2">
        <w:t xml:space="preserve"> and </w:t>
      </w:r>
      <w:r w:rsidR="00486546">
        <w:t>recommend</w:t>
      </w:r>
      <w:r w:rsidR="00CE4096">
        <w:t>s</w:t>
      </w:r>
      <w:r w:rsidR="00486546">
        <w:t xml:space="preserve"> that </w:t>
      </w:r>
      <w:r w:rsidR="001233D2">
        <w:t xml:space="preserve">“a calculation </w:t>
      </w:r>
      <w:r w:rsidR="006E43F5">
        <w:t xml:space="preserve">of that kind … </w:t>
      </w:r>
      <w:r w:rsidR="00654427">
        <w:t xml:space="preserve">ought to form </w:t>
      </w:r>
      <w:r w:rsidR="005F2162">
        <w:t xml:space="preserve">an essential part of any fire safety strategy”. </w:t>
      </w:r>
      <w:r w:rsidR="00A66D80">
        <w:t>(113.13)</w:t>
      </w:r>
    </w:p>
    <w:p w14:paraId="467420AA" w14:textId="13401CC6" w:rsidR="00DB552F" w:rsidRPr="00DB552F" w:rsidRDefault="00CE4096" w:rsidP="009C1C3D">
      <w:r>
        <w:t>It further</w:t>
      </w:r>
      <w:r w:rsidR="00DB552F" w:rsidRPr="00DB552F">
        <w:t xml:space="preserve"> recommends that “it be made a statutory requirement that a fire safety strategy produced by a registered fire engineer </w:t>
      </w:r>
      <w:r w:rsidR="00CC3D71">
        <w:t xml:space="preserve">to </w:t>
      </w:r>
      <w:r w:rsidR="00DB552F" w:rsidRPr="00DB552F">
        <w:t>be submitted with building control applications</w:t>
      </w:r>
      <w:r w:rsidR="00B454D7">
        <w:t xml:space="preserve"> [which] </w:t>
      </w:r>
      <w:r w:rsidR="00DB552F" w:rsidRPr="00DB552F">
        <w:t>must take into account the needs of vulnerable people, including the additional time they may require to leave the building or reach a place of safety within it and any additional facilities necessary to ensure their safety.”</w:t>
      </w:r>
      <w:r w:rsidR="00A66D80">
        <w:t xml:space="preserve"> (113.</w:t>
      </w:r>
      <w:r w:rsidR="00A01E64">
        <w:t>1</w:t>
      </w:r>
      <w:r w:rsidR="00A66D80">
        <w:t>5)</w:t>
      </w:r>
    </w:p>
    <w:p w14:paraId="6EC5845E" w14:textId="0E9B1598" w:rsidR="00AE36F5" w:rsidRDefault="00134B12">
      <w:r>
        <w:t>T</w:t>
      </w:r>
      <w:r w:rsidR="006D2B0F">
        <w:t xml:space="preserve">hese </w:t>
      </w:r>
      <w:r w:rsidR="00C2197B">
        <w:t xml:space="preserve">recommendations foreground the risks to </w:t>
      </w:r>
      <w:r w:rsidR="002C5F3C">
        <w:t>D</w:t>
      </w:r>
      <w:r w:rsidR="00C2197B">
        <w:t xml:space="preserve">isabled people </w:t>
      </w:r>
      <w:r w:rsidR="00080A1A">
        <w:t xml:space="preserve">for </w:t>
      </w:r>
      <w:r w:rsidR="00C2197B">
        <w:t>building design and fire safety strategy.</w:t>
      </w:r>
      <w:r w:rsidRPr="00134B12">
        <w:t xml:space="preserve"> </w:t>
      </w:r>
      <w:r>
        <w:t>The Government must implement them.</w:t>
      </w:r>
    </w:p>
    <w:p w14:paraId="2DEA8D86" w14:textId="0531A4F7" w:rsidR="00097844" w:rsidRPr="009C1C3D" w:rsidRDefault="003D0A02">
      <w:pPr>
        <w:rPr>
          <w:b/>
          <w:bCs/>
        </w:rPr>
      </w:pPr>
      <w:r>
        <w:rPr>
          <w:b/>
          <w:bCs/>
        </w:rPr>
        <w:t>Make housing accessible</w:t>
      </w:r>
    </w:p>
    <w:p w14:paraId="07FE127A" w14:textId="6C87359B" w:rsidR="00097844" w:rsidRDefault="00AE36F5">
      <w:r>
        <w:t xml:space="preserve">All </w:t>
      </w:r>
      <w:r w:rsidR="00D916DF">
        <w:t xml:space="preserve">residential buildings </w:t>
      </w:r>
      <w:r>
        <w:t xml:space="preserve">should be made as </w:t>
      </w:r>
      <w:r w:rsidR="00D916DF">
        <w:t>accessible as possible</w:t>
      </w:r>
      <w:r>
        <w:t xml:space="preserve">, </w:t>
      </w:r>
      <w:r w:rsidR="00E37C24">
        <w:t xml:space="preserve">including </w:t>
      </w:r>
      <w:r>
        <w:t xml:space="preserve">giving </w:t>
      </w:r>
      <w:r w:rsidR="00837259">
        <w:t>effect</w:t>
      </w:r>
      <w:r>
        <w:t xml:space="preserve"> to the anticipatory duty in the Equality Act. </w:t>
      </w:r>
      <w:r w:rsidR="00D916DF">
        <w:t xml:space="preserve"> </w:t>
      </w:r>
      <w:r>
        <w:t xml:space="preserve">This should apply to all features of a building </w:t>
      </w:r>
      <w:r w:rsidR="007902C1">
        <w:t>including the</w:t>
      </w:r>
      <w:r>
        <w:t xml:space="preserve"> size of </w:t>
      </w:r>
      <w:r w:rsidR="00D916DF">
        <w:t>lifts</w:t>
      </w:r>
      <w:r w:rsidR="0061249D">
        <w:t xml:space="preserve"> and number of evacuation lifts</w:t>
      </w:r>
      <w:r w:rsidR="00D916DF">
        <w:t xml:space="preserve">, </w:t>
      </w:r>
      <w:r>
        <w:t xml:space="preserve">the installation of </w:t>
      </w:r>
      <w:r w:rsidR="00D916DF">
        <w:t xml:space="preserve">ramps, </w:t>
      </w:r>
      <w:r>
        <w:t xml:space="preserve">the availability of good </w:t>
      </w:r>
      <w:r w:rsidR="00D916DF">
        <w:t xml:space="preserve">lighting </w:t>
      </w:r>
      <w:r w:rsidR="003E18DD">
        <w:t>and the</w:t>
      </w:r>
      <w:r>
        <w:t xml:space="preserve"> fitting of </w:t>
      </w:r>
      <w:r w:rsidR="00D916DF">
        <w:t>stair rails. All new build, whether residential blocks or single houses, should be built to M4(2) with 10% built to wheelchair accessible standards M4(3)</w:t>
      </w:r>
      <w:r w:rsidR="00D579C4">
        <w:t>.</w:t>
      </w:r>
      <w:r>
        <w:t xml:space="preserve"> These requirements should be clearly set out in law.</w:t>
      </w:r>
      <w:r w:rsidR="00D916DF">
        <w:t xml:space="preserve">  </w:t>
      </w:r>
    </w:p>
    <w:p w14:paraId="559FFE5A" w14:textId="3C1DAC5C" w:rsidR="00097844" w:rsidRPr="009C1C3D" w:rsidRDefault="00097844">
      <w:pPr>
        <w:rPr>
          <w:b/>
          <w:bCs/>
        </w:rPr>
      </w:pPr>
      <w:r w:rsidRPr="009C1C3D">
        <w:rPr>
          <w:b/>
          <w:bCs/>
        </w:rPr>
        <w:t>Engage</w:t>
      </w:r>
      <w:r w:rsidR="00141DAA">
        <w:rPr>
          <w:b/>
          <w:bCs/>
        </w:rPr>
        <w:t xml:space="preserve"> </w:t>
      </w:r>
      <w:r w:rsidRPr="009C1C3D">
        <w:rPr>
          <w:b/>
          <w:bCs/>
        </w:rPr>
        <w:t xml:space="preserve">with </w:t>
      </w:r>
      <w:r w:rsidR="007A258C">
        <w:rPr>
          <w:b/>
          <w:bCs/>
        </w:rPr>
        <w:t>D</w:t>
      </w:r>
      <w:r w:rsidR="0011449C">
        <w:rPr>
          <w:b/>
          <w:bCs/>
        </w:rPr>
        <w:t>isabled r</w:t>
      </w:r>
      <w:r w:rsidRPr="009C1C3D">
        <w:rPr>
          <w:b/>
          <w:bCs/>
        </w:rPr>
        <w:t>esidents</w:t>
      </w:r>
    </w:p>
    <w:p w14:paraId="6A89F6DD" w14:textId="1AE3130E" w:rsidR="00097844" w:rsidRDefault="005D7DAE">
      <w:r>
        <w:lastRenderedPageBreak/>
        <w:t>Building on the duties in the Building Safety Act</w:t>
      </w:r>
      <w:r w:rsidR="00614BEA">
        <w:t xml:space="preserve"> 2022</w:t>
      </w:r>
      <w:r>
        <w:t xml:space="preserve">, </w:t>
      </w:r>
      <w:r w:rsidR="007A258C">
        <w:t>D</w:t>
      </w:r>
      <w:r w:rsidR="00D579C4">
        <w:t xml:space="preserve">isabled </w:t>
      </w:r>
      <w:r w:rsidR="00147882">
        <w:t xml:space="preserve">people </w:t>
      </w:r>
      <w:r w:rsidR="00D579C4">
        <w:t xml:space="preserve">living in residential blocks should be regularly consulted on issues affecting the safety and repair of the building. Engagement should be fully accessible to all residents and meet </w:t>
      </w:r>
      <w:r w:rsidR="00AE36F5">
        <w:t xml:space="preserve">the </w:t>
      </w:r>
      <w:r w:rsidR="00D579C4">
        <w:t xml:space="preserve">needs </w:t>
      </w:r>
      <w:r w:rsidR="00AE36F5">
        <w:t>of people with different impairments or health conditions</w:t>
      </w:r>
      <w:r w:rsidR="00D579C4">
        <w:t>.</w:t>
      </w:r>
      <w:r w:rsidR="00AE36F5">
        <w:t xml:space="preserve"> This includes providing accessible information and communication. The </w:t>
      </w:r>
      <w:r w:rsidR="008F6BEE">
        <w:t xml:space="preserve">communication </w:t>
      </w:r>
      <w:r w:rsidR="00AE36F5">
        <w:t>needs of Disabled people facing other forms of oppression</w:t>
      </w:r>
      <w:r w:rsidR="008F6BEE">
        <w:t xml:space="preserve">, such as those based on </w:t>
      </w:r>
      <w:r w:rsidR="00AE4B1F">
        <w:t>language</w:t>
      </w:r>
      <w:r w:rsidR="0074799B">
        <w:t xml:space="preserve">, </w:t>
      </w:r>
      <w:r w:rsidR="00AE36F5">
        <w:t>ethnicity, sexual orientation</w:t>
      </w:r>
      <w:r w:rsidR="008F6BEE">
        <w:t xml:space="preserve"> or age, should also be addressed.  </w:t>
      </w:r>
    </w:p>
    <w:p w14:paraId="18F0ADF3" w14:textId="77777777" w:rsidR="00D579C4" w:rsidRDefault="00D579C4"/>
    <w:p w14:paraId="5967F114" w14:textId="3B387BDD" w:rsidR="00097844" w:rsidRPr="009C1C3D" w:rsidRDefault="00097844">
      <w:pPr>
        <w:rPr>
          <w:b/>
          <w:bCs/>
        </w:rPr>
      </w:pPr>
      <w:r w:rsidRPr="009C1C3D">
        <w:rPr>
          <w:b/>
          <w:bCs/>
        </w:rPr>
        <w:t>Support during Remediation</w:t>
      </w:r>
    </w:p>
    <w:p w14:paraId="427A824B" w14:textId="0AE50AB3" w:rsidR="00097844" w:rsidRDefault="00D579C4">
      <w:r>
        <w:t>Disabled people should receive wrap around support when building</w:t>
      </w:r>
      <w:r w:rsidR="00000971">
        <w:t>s</w:t>
      </w:r>
      <w:r>
        <w:t xml:space="preserve"> are being remediated</w:t>
      </w:r>
      <w:r w:rsidR="008F6BEE">
        <w:t>, whether for the removal of cladding or the making of other improvements</w:t>
      </w:r>
      <w:r>
        <w:t xml:space="preserve">. This means </w:t>
      </w:r>
      <w:r w:rsidR="00000971">
        <w:t>the building owner and manager working with social care services, housing services and private building contractors, to ensure that Disabled residents are supported throughout this disruptive and distressing process.</w:t>
      </w:r>
      <w:r w:rsidR="008F6BEE">
        <w:t xml:space="preserve"> This should be set out in law.</w:t>
      </w:r>
    </w:p>
    <w:p w14:paraId="31D3FC98" w14:textId="47CBCF3E" w:rsidR="009D4026" w:rsidRPr="00C70745" w:rsidRDefault="009D4026" w:rsidP="009D4026">
      <w:pPr>
        <w:rPr>
          <w:b/>
          <w:bCs/>
        </w:rPr>
      </w:pPr>
      <w:r w:rsidRPr="00C70745">
        <w:rPr>
          <w:b/>
          <w:bCs/>
        </w:rPr>
        <w:t>Conclusion</w:t>
      </w:r>
    </w:p>
    <w:p w14:paraId="01AA04A5" w14:textId="3F7EA050" w:rsidR="009D4026" w:rsidRPr="009D4026" w:rsidRDefault="00D14547" w:rsidP="009D4026">
      <w:r>
        <w:rPr>
          <w:noProof/>
        </w:rPr>
        <w:drawing>
          <wp:anchor distT="0" distB="0" distL="114300" distR="114300" simplePos="0" relativeHeight="251658240" behindDoc="1" locked="0" layoutInCell="1" allowOverlap="1" wp14:anchorId="18CE7DF7" wp14:editId="31A4E0B3">
            <wp:simplePos x="0" y="0"/>
            <wp:positionH relativeFrom="column">
              <wp:posOffset>3595688</wp:posOffset>
            </wp:positionH>
            <wp:positionV relativeFrom="paragraph">
              <wp:posOffset>2097088</wp:posOffset>
            </wp:positionV>
            <wp:extent cx="1895475" cy="856615"/>
            <wp:effectExtent l="0" t="0" r="9525" b="635"/>
            <wp:wrapTight wrapText="bothSides">
              <wp:wrapPolygon edited="0">
                <wp:start x="0" y="0"/>
                <wp:lineTo x="0" y="21136"/>
                <wp:lineTo x="21491" y="21136"/>
                <wp:lineTo x="21491" y="0"/>
                <wp:lineTo x="0" y="0"/>
              </wp:wrapPolygon>
            </wp:wrapTight>
            <wp:docPr id="1115958938"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958938" name="Picture 1" descr="A blue and yellow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856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4026">
        <w:t xml:space="preserve">We the undersigned are willing and ready to work with the UK Government to affect a sea change in housing law and policy to bring about equity of experience for Disabled residents. </w:t>
      </w:r>
    </w:p>
    <w:p w14:paraId="6C0B8E6F" w14:textId="1B9F0B3B" w:rsidR="2CF82958" w:rsidRDefault="2CF82958" w:rsidP="2A454F0A">
      <w:r>
        <w:rPr>
          <w:noProof/>
        </w:rPr>
        <w:drawing>
          <wp:anchor distT="0" distB="0" distL="114300" distR="114300" simplePos="0" relativeHeight="251657215" behindDoc="1" locked="0" layoutInCell="1" allowOverlap="1" wp14:anchorId="3D51A821" wp14:editId="4F314EB2">
            <wp:simplePos x="0" y="0"/>
            <wp:positionH relativeFrom="column">
              <wp:posOffset>0</wp:posOffset>
            </wp:positionH>
            <wp:positionV relativeFrom="paragraph">
              <wp:posOffset>1270</wp:posOffset>
            </wp:positionV>
            <wp:extent cx="5438297" cy="3167063"/>
            <wp:effectExtent l="0" t="0" r="0" b="0"/>
            <wp:wrapTight wrapText="bothSides">
              <wp:wrapPolygon edited="0">
                <wp:start x="0" y="0"/>
                <wp:lineTo x="0" y="21440"/>
                <wp:lineTo x="21489" y="21440"/>
                <wp:lineTo x="21489" y="0"/>
                <wp:lineTo x="0" y="0"/>
              </wp:wrapPolygon>
            </wp:wrapTight>
            <wp:docPr id="15997015" name="Picture 15997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38297" cy="3167063"/>
                    </a:xfrm>
                    <a:prstGeom prst="rect">
                      <a:avLst/>
                    </a:prstGeom>
                  </pic:spPr>
                </pic:pic>
              </a:graphicData>
            </a:graphic>
          </wp:anchor>
        </w:drawing>
      </w:r>
    </w:p>
    <w:p w14:paraId="6B8DE901" w14:textId="69229FFA" w:rsidR="00000971" w:rsidRDefault="00000971"/>
    <w:p w14:paraId="1739811D" w14:textId="4EF1D1E9" w:rsidR="00E63B4B" w:rsidRDefault="00E63B4B" w:rsidP="00F67BDD"/>
    <w:sectPr w:rsidR="00E63B4B" w:rsidSect="00392F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AF488" w14:textId="77777777" w:rsidR="006F5CF0" w:rsidRDefault="006F5CF0" w:rsidP="00DA333B">
      <w:pPr>
        <w:spacing w:after="0" w:line="240" w:lineRule="auto"/>
      </w:pPr>
      <w:r>
        <w:separator/>
      </w:r>
    </w:p>
  </w:endnote>
  <w:endnote w:type="continuationSeparator" w:id="0">
    <w:p w14:paraId="4BCB3C22" w14:textId="77777777" w:rsidR="006F5CF0" w:rsidRDefault="006F5CF0" w:rsidP="00DA333B">
      <w:pPr>
        <w:spacing w:after="0" w:line="240" w:lineRule="auto"/>
      </w:pPr>
      <w:r>
        <w:continuationSeparator/>
      </w:r>
    </w:p>
  </w:endnote>
  <w:endnote w:type="continuationNotice" w:id="1">
    <w:p w14:paraId="6E3A9A43" w14:textId="77777777" w:rsidR="006F5CF0" w:rsidRDefault="006F5C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A524A" w14:textId="77777777" w:rsidR="006F5CF0" w:rsidRDefault="006F5CF0" w:rsidP="00DA333B">
      <w:pPr>
        <w:spacing w:after="0" w:line="240" w:lineRule="auto"/>
      </w:pPr>
      <w:r>
        <w:separator/>
      </w:r>
    </w:p>
  </w:footnote>
  <w:footnote w:type="continuationSeparator" w:id="0">
    <w:p w14:paraId="230DFEC4" w14:textId="77777777" w:rsidR="006F5CF0" w:rsidRDefault="006F5CF0" w:rsidP="00DA333B">
      <w:pPr>
        <w:spacing w:after="0" w:line="240" w:lineRule="auto"/>
      </w:pPr>
      <w:r>
        <w:continuationSeparator/>
      </w:r>
    </w:p>
  </w:footnote>
  <w:footnote w:type="continuationNotice" w:id="1">
    <w:p w14:paraId="15615417" w14:textId="77777777" w:rsidR="006F5CF0" w:rsidRDefault="006F5CF0">
      <w:pPr>
        <w:spacing w:after="0" w:line="240" w:lineRule="auto"/>
      </w:pPr>
    </w:p>
  </w:footnote>
  <w:footnote w:id="2">
    <w:p w14:paraId="7C8E9BC4" w14:textId="2C3589D7" w:rsidR="006944DC" w:rsidRDefault="006944DC">
      <w:pPr>
        <w:pStyle w:val="FootnoteText"/>
      </w:pPr>
      <w:r>
        <w:rPr>
          <w:rStyle w:val="FootnoteReference"/>
        </w:rPr>
        <w:footnoteRef/>
      </w:r>
      <w:r>
        <w:t xml:space="preserve"> </w:t>
      </w:r>
      <w:r w:rsidR="004257CB">
        <w:t>Regulatory Reform (Fire Safety) Order 2005</w:t>
      </w:r>
    </w:p>
  </w:footnote>
  <w:footnote w:id="3">
    <w:p w14:paraId="417A687A" w14:textId="7C1CDCE9" w:rsidR="00F212EC" w:rsidRDefault="00F212EC">
      <w:pPr>
        <w:pStyle w:val="FootnoteText"/>
      </w:pPr>
      <w:r>
        <w:rPr>
          <w:rStyle w:val="FootnoteReference"/>
        </w:rPr>
        <w:footnoteRef/>
      </w:r>
      <w:r>
        <w:t xml:space="preserve"> References are to the Phase 2 Report unless otherwise stated.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A494B"/>
    <w:multiLevelType w:val="hybridMultilevel"/>
    <w:tmpl w:val="873A5C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6276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4B"/>
    <w:rsid w:val="000006D1"/>
    <w:rsid w:val="00000971"/>
    <w:rsid w:val="00001A43"/>
    <w:rsid w:val="000050BE"/>
    <w:rsid w:val="00010C75"/>
    <w:rsid w:val="00011755"/>
    <w:rsid w:val="00012D79"/>
    <w:rsid w:val="00014239"/>
    <w:rsid w:val="000239CC"/>
    <w:rsid w:val="000245F0"/>
    <w:rsid w:val="00024DAA"/>
    <w:rsid w:val="00025640"/>
    <w:rsid w:val="00027CFC"/>
    <w:rsid w:val="000321FA"/>
    <w:rsid w:val="0003317D"/>
    <w:rsid w:val="00034C3B"/>
    <w:rsid w:val="00035051"/>
    <w:rsid w:val="000413C0"/>
    <w:rsid w:val="00045796"/>
    <w:rsid w:val="00045CBA"/>
    <w:rsid w:val="00046C74"/>
    <w:rsid w:val="00050EE3"/>
    <w:rsid w:val="0005231B"/>
    <w:rsid w:val="00053656"/>
    <w:rsid w:val="000548F4"/>
    <w:rsid w:val="00055A3F"/>
    <w:rsid w:val="000606D1"/>
    <w:rsid w:val="000619FC"/>
    <w:rsid w:val="00061A97"/>
    <w:rsid w:val="000641E2"/>
    <w:rsid w:val="00065DD2"/>
    <w:rsid w:val="000710A5"/>
    <w:rsid w:val="00074F2D"/>
    <w:rsid w:val="00076235"/>
    <w:rsid w:val="00076B5D"/>
    <w:rsid w:val="00080A1A"/>
    <w:rsid w:val="00080F43"/>
    <w:rsid w:val="00082386"/>
    <w:rsid w:val="000823F8"/>
    <w:rsid w:val="00085108"/>
    <w:rsid w:val="000867D3"/>
    <w:rsid w:val="000909A1"/>
    <w:rsid w:val="00094DA2"/>
    <w:rsid w:val="000954CE"/>
    <w:rsid w:val="00096A55"/>
    <w:rsid w:val="000976D8"/>
    <w:rsid w:val="00097844"/>
    <w:rsid w:val="000A01D5"/>
    <w:rsid w:val="000A2886"/>
    <w:rsid w:val="000A339B"/>
    <w:rsid w:val="000A35DC"/>
    <w:rsid w:val="000A4D27"/>
    <w:rsid w:val="000A5EFF"/>
    <w:rsid w:val="000A60D6"/>
    <w:rsid w:val="000B152B"/>
    <w:rsid w:val="000B2924"/>
    <w:rsid w:val="000B292E"/>
    <w:rsid w:val="000B334E"/>
    <w:rsid w:val="000B3D9D"/>
    <w:rsid w:val="000B47D0"/>
    <w:rsid w:val="000C4F8E"/>
    <w:rsid w:val="000C7DDA"/>
    <w:rsid w:val="000C7E62"/>
    <w:rsid w:val="000D02AF"/>
    <w:rsid w:val="000D0A50"/>
    <w:rsid w:val="000D108F"/>
    <w:rsid w:val="000D3F64"/>
    <w:rsid w:val="000D7E5C"/>
    <w:rsid w:val="000D7F1F"/>
    <w:rsid w:val="000E27BE"/>
    <w:rsid w:val="000E4208"/>
    <w:rsid w:val="000E4338"/>
    <w:rsid w:val="000E5760"/>
    <w:rsid w:val="000E5C84"/>
    <w:rsid w:val="000E616C"/>
    <w:rsid w:val="000E6CA1"/>
    <w:rsid w:val="000E746B"/>
    <w:rsid w:val="000F29FC"/>
    <w:rsid w:val="000F2E67"/>
    <w:rsid w:val="000F34BD"/>
    <w:rsid w:val="000F674C"/>
    <w:rsid w:val="00102544"/>
    <w:rsid w:val="00104736"/>
    <w:rsid w:val="00104DEF"/>
    <w:rsid w:val="00106E62"/>
    <w:rsid w:val="00112B1D"/>
    <w:rsid w:val="00112CB1"/>
    <w:rsid w:val="00114120"/>
    <w:rsid w:val="0011449C"/>
    <w:rsid w:val="00115258"/>
    <w:rsid w:val="00115C03"/>
    <w:rsid w:val="00116150"/>
    <w:rsid w:val="001161E6"/>
    <w:rsid w:val="00116342"/>
    <w:rsid w:val="00117396"/>
    <w:rsid w:val="00117B2E"/>
    <w:rsid w:val="00121AD4"/>
    <w:rsid w:val="001233D2"/>
    <w:rsid w:val="00123E32"/>
    <w:rsid w:val="00125D9C"/>
    <w:rsid w:val="001262E9"/>
    <w:rsid w:val="001274AF"/>
    <w:rsid w:val="001278D5"/>
    <w:rsid w:val="00132A10"/>
    <w:rsid w:val="00134B12"/>
    <w:rsid w:val="00135EB6"/>
    <w:rsid w:val="00141085"/>
    <w:rsid w:val="00141DAA"/>
    <w:rsid w:val="00142646"/>
    <w:rsid w:val="00142942"/>
    <w:rsid w:val="00142A74"/>
    <w:rsid w:val="001477C9"/>
    <w:rsid w:val="00147882"/>
    <w:rsid w:val="001508BC"/>
    <w:rsid w:val="001510A2"/>
    <w:rsid w:val="001532D9"/>
    <w:rsid w:val="0015621A"/>
    <w:rsid w:val="00160D68"/>
    <w:rsid w:val="00161CC7"/>
    <w:rsid w:val="00172129"/>
    <w:rsid w:val="00174675"/>
    <w:rsid w:val="00174AC2"/>
    <w:rsid w:val="001766B8"/>
    <w:rsid w:val="00176CED"/>
    <w:rsid w:val="0018025E"/>
    <w:rsid w:val="00184A89"/>
    <w:rsid w:val="00185F1D"/>
    <w:rsid w:val="00191812"/>
    <w:rsid w:val="00191A57"/>
    <w:rsid w:val="00192118"/>
    <w:rsid w:val="0019311C"/>
    <w:rsid w:val="0019526A"/>
    <w:rsid w:val="00196749"/>
    <w:rsid w:val="00197CFD"/>
    <w:rsid w:val="001A112B"/>
    <w:rsid w:val="001A236F"/>
    <w:rsid w:val="001B3AFA"/>
    <w:rsid w:val="001C051C"/>
    <w:rsid w:val="001C05D7"/>
    <w:rsid w:val="001C248C"/>
    <w:rsid w:val="001C40D5"/>
    <w:rsid w:val="001C729C"/>
    <w:rsid w:val="001C7C8F"/>
    <w:rsid w:val="001D109C"/>
    <w:rsid w:val="001D2006"/>
    <w:rsid w:val="001D20A7"/>
    <w:rsid w:val="001D23B2"/>
    <w:rsid w:val="001D2F57"/>
    <w:rsid w:val="001D3956"/>
    <w:rsid w:val="001D4A39"/>
    <w:rsid w:val="001D4D3F"/>
    <w:rsid w:val="001D6C74"/>
    <w:rsid w:val="001D6EC0"/>
    <w:rsid w:val="001D738D"/>
    <w:rsid w:val="001E14E9"/>
    <w:rsid w:val="001E4512"/>
    <w:rsid w:val="001E4FB2"/>
    <w:rsid w:val="001E5D6A"/>
    <w:rsid w:val="001E5DF7"/>
    <w:rsid w:val="001F3728"/>
    <w:rsid w:val="00200620"/>
    <w:rsid w:val="00201D4A"/>
    <w:rsid w:val="00203693"/>
    <w:rsid w:val="00204BE4"/>
    <w:rsid w:val="00206790"/>
    <w:rsid w:val="00206E25"/>
    <w:rsid w:val="00207B1E"/>
    <w:rsid w:val="002137D2"/>
    <w:rsid w:val="0021424D"/>
    <w:rsid w:val="0021478F"/>
    <w:rsid w:val="002159C7"/>
    <w:rsid w:val="00216250"/>
    <w:rsid w:val="00217A05"/>
    <w:rsid w:val="00225DB0"/>
    <w:rsid w:val="00227ECE"/>
    <w:rsid w:val="00230649"/>
    <w:rsid w:val="0023144F"/>
    <w:rsid w:val="00232BDB"/>
    <w:rsid w:val="00233EA3"/>
    <w:rsid w:val="0023498D"/>
    <w:rsid w:val="0023675C"/>
    <w:rsid w:val="00236B2D"/>
    <w:rsid w:val="00241275"/>
    <w:rsid w:val="00241D85"/>
    <w:rsid w:val="0024223D"/>
    <w:rsid w:val="002438B7"/>
    <w:rsid w:val="00243A21"/>
    <w:rsid w:val="002444E8"/>
    <w:rsid w:val="00247613"/>
    <w:rsid w:val="002530B9"/>
    <w:rsid w:val="00253CCE"/>
    <w:rsid w:val="00253E39"/>
    <w:rsid w:val="00255A1D"/>
    <w:rsid w:val="0026050D"/>
    <w:rsid w:val="00261283"/>
    <w:rsid w:val="002627EE"/>
    <w:rsid w:val="00264D6E"/>
    <w:rsid w:val="0026666B"/>
    <w:rsid w:val="00266F1D"/>
    <w:rsid w:val="002676F7"/>
    <w:rsid w:val="0027508C"/>
    <w:rsid w:val="002834B7"/>
    <w:rsid w:val="00284734"/>
    <w:rsid w:val="00287469"/>
    <w:rsid w:val="00291DBD"/>
    <w:rsid w:val="0029306C"/>
    <w:rsid w:val="00295FE4"/>
    <w:rsid w:val="002967B8"/>
    <w:rsid w:val="002A4839"/>
    <w:rsid w:val="002A5490"/>
    <w:rsid w:val="002A6CE9"/>
    <w:rsid w:val="002A6FCE"/>
    <w:rsid w:val="002A75CB"/>
    <w:rsid w:val="002B2567"/>
    <w:rsid w:val="002B2F60"/>
    <w:rsid w:val="002B76D4"/>
    <w:rsid w:val="002C05E7"/>
    <w:rsid w:val="002C3785"/>
    <w:rsid w:val="002C5F3C"/>
    <w:rsid w:val="002C7ADF"/>
    <w:rsid w:val="002D1BBD"/>
    <w:rsid w:val="002D2A6B"/>
    <w:rsid w:val="002D5075"/>
    <w:rsid w:val="002D5C96"/>
    <w:rsid w:val="002D684F"/>
    <w:rsid w:val="002E1436"/>
    <w:rsid w:val="002F3350"/>
    <w:rsid w:val="002F4EE7"/>
    <w:rsid w:val="002F5FEF"/>
    <w:rsid w:val="00301F57"/>
    <w:rsid w:val="0030209C"/>
    <w:rsid w:val="00304562"/>
    <w:rsid w:val="00304693"/>
    <w:rsid w:val="003049A9"/>
    <w:rsid w:val="0030656F"/>
    <w:rsid w:val="00306708"/>
    <w:rsid w:val="00306AF9"/>
    <w:rsid w:val="003116A5"/>
    <w:rsid w:val="00311A3B"/>
    <w:rsid w:val="00312A0A"/>
    <w:rsid w:val="003207F2"/>
    <w:rsid w:val="003211B0"/>
    <w:rsid w:val="00323263"/>
    <w:rsid w:val="0033385D"/>
    <w:rsid w:val="0033770B"/>
    <w:rsid w:val="00340AE8"/>
    <w:rsid w:val="00345501"/>
    <w:rsid w:val="0035024B"/>
    <w:rsid w:val="003510B0"/>
    <w:rsid w:val="00353161"/>
    <w:rsid w:val="0035342A"/>
    <w:rsid w:val="00357F5B"/>
    <w:rsid w:val="00361C6F"/>
    <w:rsid w:val="003634AE"/>
    <w:rsid w:val="003637A5"/>
    <w:rsid w:val="00364808"/>
    <w:rsid w:val="00364F7B"/>
    <w:rsid w:val="00365A65"/>
    <w:rsid w:val="00366CFC"/>
    <w:rsid w:val="0036761A"/>
    <w:rsid w:val="003709F7"/>
    <w:rsid w:val="003710CC"/>
    <w:rsid w:val="0037113F"/>
    <w:rsid w:val="00372990"/>
    <w:rsid w:val="00372F57"/>
    <w:rsid w:val="00374269"/>
    <w:rsid w:val="00375409"/>
    <w:rsid w:val="003764E0"/>
    <w:rsid w:val="003822BF"/>
    <w:rsid w:val="00382653"/>
    <w:rsid w:val="0038288D"/>
    <w:rsid w:val="00382C92"/>
    <w:rsid w:val="00383C26"/>
    <w:rsid w:val="00386324"/>
    <w:rsid w:val="00386644"/>
    <w:rsid w:val="00387A99"/>
    <w:rsid w:val="00387DFD"/>
    <w:rsid w:val="00391633"/>
    <w:rsid w:val="003917AC"/>
    <w:rsid w:val="00392F12"/>
    <w:rsid w:val="003941A3"/>
    <w:rsid w:val="0039450F"/>
    <w:rsid w:val="00397150"/>
    <w:rsid w:val="003A2D18"/>
    <w:rsid w:val="003A4EB0"/>
    <w:rsid w:val="003B02CB"/>
    <w:rsid w:val="003B1210"/>
    <w:rsid w:val="003B1ADF"/>
    <w:rsid w:val="003B3E94"/>
    <w:rsid w:val="003B612A"/>
    <w:rsid w:val="003C0F21"/>
    <w:rsid w:val="003C16CF"/>
    <w:rsid w:val="003C1A67"/>
    <w:rsid w:val="003D0A02"/>
    <w:rsid w:val="003D21D4"/>
    <w:rsid w:val="003D2958"/>
    <w:rsid w:val="003D2C19"/>
    <w:rsid w:val="003D2DAE"/>
    <w:rsid w:val="003D3206"/>
    <w:rsid w:val="003D53DD"/>
    <w:rsid w:val="003D5C29"/>
    <w:rsid w:val="003D615C"/>
    <w:rsid w:val="003D61E0"/>
    <w:rsid w:val="003D662A"/>
    <w:rsid w:val="003D6E34"/>
    <w:rsid w:val="003D7CA5"/>
    <w:rsid w:val="003E012A"/>
    <w:rsid w:val="003E0259"/>
    <w:rsid w:val="003E0326"/>
    <w:rsid w:val="003E18DD"/>
    <w:rsid w:val="003E3798"/>
    <w:rsid w:val="003E3E48"/>
    <w:rsid w:val="003E5F3F"/>
    <w:rsid w:val="003F143D"/>
    <w:rsid w:val="003F15A9"/>
    <w:rsid w:val="003F38FF"/>
    <w:rsid w:val="003F73F1"/>
    <w:rsid w:val="003F7BFF"/>
    <w:rsid w:val="00400CCC"/>
    <w:rsid w:val="0040179C"/>
    <w:rsid w:val="00401E50"/>
    <w:rsid w:val="00403765"/>
    <w:rsid w:val="004048DC"/>
    <w:rsid w:val="004103FF"/>
    <w:rsid w:val="00413D96"/>
    <w:rsid w:val="004153FA"/>
    <w:rsid w:val="00417F2C"/>
    <w:rsid w:val="00421F07"/>
    <w:rsid w:val="00422939"/>
    <w:rsid w:val="004257CB"/>
    <w:rsid w:val="00426DE5"/>
    <w:rsid w:val="0042763E"/>
    <w:rsid w:val="004326D8"/>
    <w:rsid w:val="004346D1"/>
    <w:rsid w:val="00436AF4"/>
    <w:rsid w:val="0043721A"/>
    <w:rsid w:val="0043786B"/>
    <w:rsid w:val="00440371"/>
    <w:rsid w:val="004405FC"/>
    <w:rsid w:val="00440F23"/>
    <w:rsid w:val="004424B8"/>
    <w:rsid w:val="00446647"/>
    <w:rsid w:val="0044681C"/>
    <w:rsid w:val="004477FB"/>
    <w:rsid w:val="00451519"/>
    <w:rsid w:val="00452A66"/>
    <w:rsid w:val="00453729"/>
    <w:rsid w:val="00453834"/>
    <w:rsid w:val="00453EBE"/>
    <w:rsid w:val="00455111"/>
    <w:rsid w:val="00456AED"/>
    <w:rsid w:val="00471B01"/>
    <w:rsid w:val="00471C7E"/>
    <w:rsid w:val="00473424"/>
    <w:rsid w:val="00473E9A"/>
    <w:rsid w:val="00476B2B"/>
    <w:rsid w:val="004805DE"/>
    <w:rsid w:val="00481BFE"/>
    <w:rsid w:val="00484433"/>
    <w:rsid w:val="00484E84"/>
    <w:rsid w:val="004853D3"/>
    <w:rsid w:val="0048561F"/>
    <w:rsid w:val="00485A5D"/>
    <w:rsid w:val="00486546"/>
    <w:rsid w:val="00490BFB"/>
    <w:rsid w:val="004930F5"/>
    <w:rsid w:val="0049464E"/>
    <w:rsid w:val="00494F6B"/>
    <w:rsid w:val="004955DE"/>
    <w:rsid w:val="00497A50"/>
    <w:rsid w:val="004A3551"/>
    <w:rsid w:val="004A3F38"/>
    <w:rsid w:val="004A4D25"/>
    <w:rsid w:val="004A4D6E"/>
    <w:rsid w:val="004A6059"/>
    <w:rsid w:val="004A6C2F"/>
    <w:rsid w:val="004A7816"/>
    <w:rsid w:val="004B1823"/>
    <w:rsid w:val="004B37DD"/>
    <w:rsid w:val="004C0B68"/>
    <w:rsid w:val="004C206F"/>
    <w:rsid w:val="004C24F7"/>
    <w:rsid w:val="004C3035"/>
    <w:rsid w:val="004C37DC"/>
    <w:rsid w:val="004C6F84"/>
    <w:rsid w:val="004D1E70"/>
    <w:rsid w:val="004D25FA"/>
    <w:rsid w:val="004D387F"/>
    <w:rsid w:val="004D5286"/>
    <w:rsid w:val="004D64F3"/>
    <w:rsid w:val="004E1E96"/>
    <w:rsid w:val="004E23F6"/>
    <w:rsid w:val="004E5556"/>
    <w:rsid w:val="004E66C5"/>
    <w:rsid w:val="004E76AC"/>
    <w:rsid w:val="004F175B"/>
    <w:rsid w:val="004F4AD5"/>
    <w:rsid w:val="004F4D51"/>
    <w:rsid w:val="00500EEA"/>
    <w:rsid w:val="00502365"/>
    <w:rsid w:val="00505D94"/>
    <w:rsid w:val="00506C10"/>
    <w:rsid w:val="00507B37"/>
    <w:rsid w:val="00510F5E"/>
    <w:rsid w:val="00512A05"/>
    <w:rsid w:val="00516AFC"/>
    <w:rsid w:val="00521C40"/>
    <w:rsid w:val="005227A2"/>
    <w:rsid w:val="00527D8D"/>
    <w:rsid w:val="00531851"/>
    <w:rsid w:val="00533B35"/>
    <w:rsid w:val="00540E63"/>
    <w:rsid w:val="0054395F"/>
    <w:rsid w:val="00545004"/>
    <w:rsid w:val="00557029"/>
    <w:rsid w:val="00562789"/>
    <w:rsid w:val="0056297C"/>
    <w:rsid w:val="00563777"/>
    <w:rsid w:val="0056393F"/>
    <w:rsid w:val="00567E27"/>
    <w:rsid w:val="00570F31"/>
    <w:rsid w:val="0057119F"/>
    <w:rsid w:val="0057545D"/>
    <w:rsid w:val="00576E5A"/>
    <w:rsid w:val="005770C9"/>
    <w:rsid w:val="0058285C"/>
    <w:rsid w:val="005829DB"/>
    <w:rsid w:val="00582CC5"/>
    <w:rsid w:val="005835F2"/>
    <w:rsid w:val="00585BFB"/>
    <w:rsid w:val="00586640"/>
    <w:rsid w:val="00590D1C"/>
    <w:rsid w:val="00596AD9"/>
    <w:rsid w:val="005A23A3"/>
    <w:rsid w:val="005A384B"/>
    <w:rsid w:val="005A4031"/>
    <w:rsid w:val="005A4819"/>
    <w:rsid w:val="005A5D7C"/>
    <w:rsid w:val="005A5FF3"/>
    <w:rsid w:val="005A7484"/>
    <w:rsid w:val="005A7FD3"/>
    <w:rsid w:val="005B1369"/>
    <w:rsid w:val="005B64F3"/>
    <w:rsid w:val="005B7DB0"/>
    <w:rsid w:val="005C0ACD"/>
    <w:rsid w:val="005C468C"/>
    <w:rsid w:val="005C4F61"/>
    <w:rsid w:val="005C6857"/>
    <w:rsid w:val="005D4A4A"/>
    <w:rsid w:val="005D7B14"/>
    <w:rsid w:val="005D7DAE"/>
    <w:rsid w:val="005E2F4D"/>
    <w:rsid w:val="005E331E"/>
    <w:rsid w:val="005E3BEE"/>
    <w:rsid w:val="005E44AD"/>
    <w:rsid w:val="005E4DCB"/>
    <w:rsid w:val="005F2162"/>
    <w:rsid w:val="005F37B5"/>
    <w:rsid w:val="005F5E37"/>
    <w:rsid w:val="005F6EB5"/>
    <w:rsid w:val="005F73B3"/>
    <w:rsid w:val="00600100"/>
    <w:rsid w:val="00600D44"/>
    <w:rsid w:val="00600DAA"/>
    <w:rsid w:val="006034AA"/>
    <w:rsid w:val="00610AE5"/>
    <w:rsid w:val="0061249D"/>
    <w:rsid w:val="006138F1"/>
    <w:rsid w:val="00613DD8"/>
    <w:rsid w:val="00614BEA"/>
    <w:rsid w:val="0061701E"/>
    <w:rsid w:val="00617930"/>
    <w:rsid w:val="00621009"/>
    <w:rsid w:val="00624709"/>
    <w:rsid w:val="00630C4E"/>
    <w:rsid w:val="00631130"/>
    <w:rsid w:val="006318BE"/>
    <w:rsid w:val="00632ACC"/>
    <w:rsid w:val="0063339A"/>
    <w:rsid w:val="00633817"/>
    <w:rsid w:val="00637B2C"/>
    <w:rsid w:val="00640BA3"/>
    <w:rsid w:val="00641230"/>
    <w:rsid w:val="00641AA5"/>
    <w:rsid w:val="00642264"/>
    <w:rsid w:val="0064396D"/>
    <w:rsid w:val="00643BE6"/>
    <w:rsid w:val="00645C2B"/>
    <w:rsid w:val="006461B4"/>
    <w:rsid w:val="006479AC"/>
    <w:rsid w:val="0065038D"/>
    <w:rsid w:val="006508FE"/>
    <w:rsid w:val="006524C2"/>
    <w:rsid w:val="00654427"/>
    <w:rsid w:val="00656497"/>
    <w:rsid w:val="0065665B"/>
    <w:rsid w:val="006566EE"/>
    <w:rsid w:val="00660935"/>
    <w:rsid w:val="006627BC"/>
    <w:rsid w:val="00665345"/>
    <w:rsid w:val="00665977"/>
    <w:rsid w:val="00665D2E"/>
    <w:rsid w:val="0066619A"/>
    <w:rsid w:val="00667446"/>
    <w:rsid w:val="00671864"/>
    <w:rsid w:val="006727FF"/>
    <w:rsid w:val="006744A6"/>
    <w:rsid w:val="006744AF"/>
    <w:rsid w:val="006744BE"/>
    <w:rsid w:val="0067510D"/>
    <w:rsid w:val="00677237"/>
    <w:rsid w:val="00686180"/>
    <w:rsid w:val="006933EF"/>
    <w:rsid w:val="006944DC"/>
    <w:rsid w:val="00695F4E"/>
    <w:rsid w:val="006A066A"/>
    <w:rsid w:val="006A19B5"/>
    <w:rsid w:val="006A3D8E"/>
    <w:rsid w:val="006A5E09"/>
    <w:rsid w:val="006A7101"/>
    <w:rsid w:val="006B2824"/>
    <w:rsid w:val="006B296E"/>
    <w:rsid w:val="006B2CE1"/>
    <w:rsid w:val="006B69D2"/>
    <w:rsid w:val="006B75C2"/>
    <w:rsid w:val="006C14E2"/>
    <w:rsid w:val="006C303D"/>
    <w:rsid w:val="006C3A90"/>
    <w:rsid w:val="006C5244"/>
    <w:rsid w:val="006D2B0F"/>
    <w:rsid w:val="006D5938"/>
    <w:rsid w:val="006D5F19"/>
    <w:rsid w:val="006D6110"/>
    <w:rsid w:val="006D75B0"/>
    <w:rsid w:val="006E16D9"/>
    <w:rsid w:val="006E1EF5"/>
    <w:rsid w:val="006E3224"/>
    <w:rsid w:val="006E43F5"/>
    <w:rsid w:val="006E7DE8"/>
    <w:rsid w:val="006F0ED1"/>
    <w:rsid w:val="006F2BCD"/>
    <w:rsid w:val="006F2C51"/>
    <w:rsid w:val="006F41BE"/>
    <w:rsid w:val="006F4B39"/>
    <w:rsid w:val="006F5CF0"/>
    <w:rsid w:val="006F6EF2"/>
    <w:rsid w:val="006F730C"/>
    <w:rsid w:val="00700F9C"/>
    <w:rsid w:val="00701A3C"/>
    <w:rsid w:val="00701A70"/>
    <w:rsid w:val="00702A46"/>
    <w:rsid w:val="00707944"/>
    <w:rsid w:val="00715E3F"/>
    <w:rsid w:val="0071797B"/>
    <w:rsid w:val="00723F9E"/>
    <w:rsid w:val="00725A5B"/>
    <w:rsid w:val="00727492"/>
    <w:rsid w:val="00727C8D"/>
    <w:rsid w:val="0073382C"/>
    <w:rsid w:val="007365CF"/>
    <w:rsid w:val="00740259"/>
    <w:rsid w:val="00740763"/>
    <w:rsid w:val="0074726D"/>
    <w:rsid w:val="00747275"/>
    <w:rsid w:val="007475C2"/>
    <w:rsid w:val="0074799B"/>
    <w:rsid w:val="007507B7"/>
    <w:rsid w:val="0075162E"/>
    <w:rsid w:val="00754528"/>
    <w:rsid w:val="007547FD"/>
    <w:rsid w:val="00755A2E"/>
    <w:rsid w:val="00757F22"/>
    <w:rsid w:val="00760C44"/>
    <w:rsid w:val="00760D15"/>
    <w:rsid w:val="00767485"/>
    <w:rsid w:val="00770214"/>
    <w:rsid w:val="007721E5"/>
    <w:rsid w:val="00773885"/>
    <w:rsid w:val="007743FC"/>
    <w:rsid w:val="00774594"/>
    <w:rsid w:val="007813E6"/>
    <w:rsid w:val="00784F9B"/>
    <w:rsid w:val="00786262"/>
    <w:rsid w:val="00786C43"/>
    <w:rsid w:val="00787AE0"/>
    <w:rsid w:val="007902C1"/>
    <w:rsid w:val="00791AD9"/>
    <w:rsid w:val="00794501"/>
    <w:rsid w:val="00794677"/>
    <w:rsid w:val="00794F3A"/>
    <w:rsid w:val="00797D9B"/>
    <w:rsid w:val="007A0AFE"/>
    <w:rsid w:val="007A258C"/>
    <w:rsid w:val="007A3AC8"/>
    <w:rsid w:val="007B2E78"/>
    <w:rsid w:val="007B48D3"/>
    <w:rsid w:val="007C1434"/>
    <w:rsid w:val="007C23E2"/>
    <w:rsid w:val="007C271E"/>
    <w:rsid w:val="007C2D4B"/>
    <w:rsid w:val="007D1622"/>
    <w:rsid w:val="007D4B99"/>
    <w:rsid w:val="007D6BCA"/>
    <w:rsid w:val="007D6DC6"/>
    <w:rsid w:val="007E0751"/>
    <w:rsid w:val="007E15F9"/>
    <w:rsid w:val="007E1B48"/>
    <w:rsid w:val="007E40DF"/>
    <w:rsid w:val="007E5997"/>
    <w:rsid w:val="007E608C"/>
    <w:rsid w:val="007E7335"/>
    <w:rsid w:val="007F27F8"/>
    <w:rsid w:val="007F2CD7"/>
    <w:rsid w:val="007F548E"/>
    <w:rsid w:val="008006CA"/>
    <w:rsid w:val="00803215"/>
    <w:rsid w:val="00803DAE"/>
    <w:rsid w:val="0080492A"/>
    <w:rsid w:val="0081041A"/>
    <w:rsid w:val="00812308"/>
    <w:rsid w:val="008139C2"/>
    <w:rsid w:val="00815311"/>
    <w:rsid w:val="00816E87"/>
    <w:rsid w:val="00822E44"/>
    <w:rsid w:val="00824AE7"/>
    <w:rsid w:val="00825269"/>
    <w:rsid w:val="00825383"/>
    <w:rsid w:val="008254A9"/>
    <w:rsid w:val="00826281"/>
    <w:rsid w:val="008273A0"/>
    <w:rsid w:val="00827C90"/>
    <w:rsid w:val="0083325E"/>
    <w:rsid w:val="00837259"/>
    <w:rsid w:val="00841B86"/>
    <w:rsid w:val="00842921"/>
    <w:rsid w:val="0084608C"/>
    <w:rsid w:val="008463FD"/>
    <w:rsid w:val="00847E55"/>
    <w:rsid w:val="008521EF"/>
    <w:rsid w:val="00852879"/>
    <w:rsid w:val="00852E46"/>
    <w:rsid w:val="008566CC"/>
    <w:rsid w:val="008606A3"/>
    <w:rsid w:val="00864676"/>
    <w:rsid w:val="00865185"/>
    <w:rsid w:val="008667A6"/>
    <w:rsid w:val="008667FD"/>
    <w:rsid w:val="008676B9"/>
    <w:rsid w:val="0086775C"/>
    <w:rsid w:val="008733C0"/>
    <w:rsid w:val="00874FAB"/>
    <w:rsid w:val="00877980"/>
    <w:rsid w:val="00877A47"/>
    <w:rsid w:val="00880E26"/>
    <w:rsid w:val="00881261"/>
    <w:rsid w:val="00882DB2"/>
    <w:rsid w:val="00883AF5"/>
    <w:rsid w:val="0088440D"/>
    <w:rsid w:val="00886C80"/>
    <w:rsid w:val="00886EC9"/>
    <w:rsid w:val="00887FAB"/>
    <w:rsid w:val="0089024D"/>
    <w:rsid w:val="008907C4"/>
    <w:rsid w:val="0089303C"/>
    <w:rsid w:val="00893F42"/>
    <w:rsid w:val="008A0743"/>
    <w:rsid w:val="008A1666"/>
    <w:rsid w:val="008A2320"/>
    <w:rsid w:val="008A2DE1"/>
    <w:rsid w:val="008A33AE"/>
    <w:rsid w:val="008A55C7"/>
    <w:rsid w:val="008A71BF"/>
    <w:rsid w:val="008B0BF7"/>
    <w:rsid w:val="008B3D90"/>
    <w:rsid w:val="008C4CF0"/>
    <w:rsid w:val="008C543A"/>
    <w:rsid w:val="008D007B"/>
    <w:rsid w:val="008D2191"/>
    <w:rsid w:val="008D2C90"/>
    <w:rsid w:val="008D3690"/>
    <w:rsid w:val="008D42E7"/>
    <w:rsid w:val="008D4C38"/>
    <w:rsid w:val="008E01D7"/>
    <w:rsid w:val="008E2802"/>
    <w:rsid w:val="008E2ACC"/>
    <w:rsid w:val="008E3D49"/>
    <w:rsid w:val="008E4A1B"/>
    <w:rsid w:val="008E54A2"/>
    <w:rsid w:val="008E631C"/>
    <w:rsid w:val="008E751F"/>
    <w:rsid w:val="008F3018"/>
    <w:rsid w:val="008F4E20"/>
    <w:rsid w:val="008F5922"/>
    <w:rsid w:val="008F6BEE"/>
    <w:rsid w:val="00915EB2"/>
    <w:rsid w:val="009202E5"/>
    <w:rsid w:val="00922A67"/>
    <w:rsid w:val="00923759"/>
    <w:rsid w:val="00923A1F"/>
    <w:rsid w:val="00926AEB"/>
    <w:rsid w:val="0092708C"/>
    <w:rsid w:val="00927DB9"/>
    <w:rsid w:val="00934ABA"/>
    <w:rsid w:val="00937217"/>
    <w:rsid w:val="00941B19"/>
    <w:rsid w:val="0094350D"/>
    <w:rsid w:val="00945BBD"/>
    <w:rsid w:val="00947446"/>
    <w:rsid w:val="009515D6"/>
    <w:rsid w:val="00951930"/>
    <w:rsid w:val="00951F86"/>
    <w:rsid w:val="00953A8B"/>
    <w:rsid w:val="00962775"/>
    <w:rsid w:val="00963684"/>
    <w:rsid w:val="009647B1"/>
    <w:rsid w:val="009668C7"/>
    <w:rsid w:val="0096770B"/>
    <w:rsid w:val="00971E25"/>
    <w:rsid w:val="00972300"/>
    <w:rsid w:val="009723EA"/>
    <w:rsid w:val="009728BD"/>
    <w:rsid w:val="009757B3"/>
    <w:rsid w:val="00976885"/>
    <w:rsid w:val="00977F09"/>
    <w:rsid w:val="009801F7"/>
    <w:rsid w:val="009804DD"/>
    <w:rsid w:val="009845B8"/>
    <w:rsid w:val="0098461D"/>
    <w:rsid w:val="00984A23"/>
    <w:rsid w:val="0098653D"/>
    <w:rsid w:val="009877F0"/>
    <w:rsid w:val="0099330C"/>
    <w:rsid w:val="00993809"/>
    <w:rsid w:val="00997826"/>
    <w:rsid w:val="009979AE"/>
    <w:rsid w:val="009A230F"/>
    <w:rsid w:val="009A5B25"/>
    <w:rsid w:val="009A69ED"/>
    <w:rsid w:val="009B1571"/>
    <w:rsid w:val="009B1ABF"/>
    <w:rsid w:val="009B2B2E"/>
    <w:rsid w:val="009B55E9"/>
    <w:rsid w:val="009B5CD8"/>
    <w:rsid w:val="009B7649"/>
    <w:rsid w:val="009C0019"/>
    <w:rsid w:val="009C1C3D"/>
    <w:rsid w:val="009C24C4"/>
    <w:rsid w:val="009C598B"/>
    <w:rsid w:val="009C6605"/>
    <w:rsid w:val="009C6F48"/>
    <w:rsid w:val="009C7119"/>
    <w:rsid w:val="009D2D32"/>
    <w:rsid w:val="009D3567"/>
    <w:rsid w:val="009D4026"/>
    <w:rsid w:val="009D56DE"/>
    <w:rsid w:val="009D58FD"/>
    <w:rsid w:val="009E0D7F"/>
    <w:rsid w:val="009F10ED"/>
    <w:rsid w:val="009F1632"/>
    <w:rsid w:val="009F2E6B"/>
    <w:rsid w:val="009F32DF"/>
    <w:rsid w:val="009F3B33"/>
    <w:rsid w:val="009F46AC"/>
    <w:rsid w:val="009F487B"/>
    <w:rsid w:val="00A01E64"/>
    <w:rsid w:val="00A024E6"/>
    <w:rsid w:val="00A06753"/>
    <w:rsid w:val="00A06A9C"/>
    <w:rsid w:val="00A102D1"/>
    <w:rsid w:val="00A1221B"/>
    <w:rsid w:val="00A13A75"/>
    <w:rsid w:val="00A13F2A"/>
    <w:rsid w:val="00A17AB7"/>
    <w:rsid w:val="00A17C13"/>
    <w:rsid w:val="00A230B5"/>
    <w:rsid w:val="00A24CC3"/>
    <w:rsid w:val="00A25E5E"/>
    <w:rsid w:val="00A30CA0"/>
    <w:rsid w:val="00A312D1"/>
    <w:rsid w:val="00A320E6"/>
    <w:rsid w:val="00A33437"/>
    <w:rsid w:val="00A3472B"/>
    <w:rsid w:val="00A36D7E"/>
    <w:rsid w:val="00A37AFA"/>
    <w:rsid w:val="00A40E84"/>
    <w:rsid w:val="00A4189E"/>
    <w:rsid w:val="00A43100"/>
    <w:rsid w:val="00A46B21"/>
    <w:rsid w:val="00A50116"/>
    <w:rsid w:val="00A55337"/>
    <w:rsid w:val="00A60441"/>
    <w:rsid w:val="00A66D80"/>
    <w:rsid w:val="00A674E2"/>
    <w:rsid w:val="00A70141"/>
    <w:rsid w:val="00A70954"/>
    <w:rsid w:val="00A735A3"/>
    <w:rsid w:val="00A73726"/>
    <w:rsid w:val="00A80643"/>
    <w:rsid w:val="00A80B11"/>
    <w:rsid w:val="00A81B39"/>
    <w:rsid w:val="00A87E17"/>
    <w:rsid w:val="00A9385C"/>
    <w:rsid w:val="00A94048"/>
    <w:rsid w:val="00A9485B"/>
    <w:rsid w:val="00A976AB"/>
    <w:rsid w:val="00AA0B7F"/>
    <w:rsid w:val="00AA1615"/>
    <w:rsid w:val="00AA5E8C"/>
    <w:rsid w:val="00AA72F5"/>
    <w:rsid w:val="00AA7E1F"/>
    <w:rsid w:val="00AB02DC"/>
    <w:rsid w:val="00AB2222"/>
    <w:rsid w:val="00AB688C"/>
    <w:rsid w:val="00AB779D"/>
    <w:rsid w:val="00AC07B7"/>
    <w:rsid w:val="00AC1B06"/>
    <w:rsid w:val="00AC3739"/>
    <w:rsid w:val="00AC4122"/>
    <w:rsid w:val="00AC423E"/>
    <w:rsid w:val="00AC5878"/>
    <w:rsid w:val="00AD1AEC"/>
    <w:rsid w:val="00AD2C4B"/>
    <w:rsid w:val="00AD2C94"/>
    <w:rsid w:val="00AD479F"/>
    <w:rsid w:val="00AE16DA"/>
    <w:rsid w:val="00AE24E9"/>
    <w:rsid w:val="00AE2A55"/>
    <w:rsid w:val="00AE2DD2"/>
    <w:rsid w:val="00AE3289"/>
    <w:rsid w:val="00AE36F5"/>
    <w:rsid w:val="00AE3BA8"/>
    <w:rsid w:val="00AE4B1F"/>
    <w:rsid w:val="00AE5446"/>
    <w:rsid w:val="00AE67AD"/>
    <w:rsid w:val="00AE75B2"/>
    <w:rsid w:val="00AF30CA"/>
    <w:rsid w:val="00AF39D8"/>
    <w:rsid w:val="00AF55F3"/>
    <w:rsid w:val="00AF5614"/>
    <w:rsid w:val="00B07F84"/>
    <w:rsid w:val="00B11262"/>
    <w:rsid w:val="00B114C6"/>
    <w:rsid w:val="00B11652"/>
    <w:rsid w:val="00B12FA1"/>
    <w:rsid w:val="00B157C5"/>
    <w:rsid w:val="00B21494"/>
    <w:rsid w:val="00B22E25"/>
    <w:rsid w:val="00B2480D"/>
    <w:rsid w:val="00B2719C"/>
    <w:rsid w:val="00B306D1"/>
    <w:rsid w:val="00B332ED"/>
    <w:rsid w:val="00B34470"/>
    <w:rsid w:val="00B34BFE"/>
    <w:rsid w:val="00B35F29"/>
    <w:rsid w:val="00B371B3"/>
    <w:rsid w:val="00B441DE"/>
    <w:rsid w:val="00B454D7"/>
    <w:rsid w:val="00B47CBA"/>
    <w:rsid w:val="00B5275F"/>
    <w:rsid w:val="00B571D7"/>
    <w:rsid w:val="00B57245"/>
    <w:rsid w:val="00B572B6"/>
    <w:rsid w:val="00B61551"/>
    <w:rsid w:val="00B62B13"/>
    <w:rsid w:val="00B635A5"/>
    <w:rsid w:val="00B63CCA"/>
    <w:rsid w:val="00B6723C"/>
    <w:rsid w:val="00B70296"/>
    <w:rsid w:val="00B71245"/>
    <w:rsid w:val="00B712A8"/>
    <w:rsid w:val="00B71773"/>
    <w:rsid w:val="00B71A7E"/>
    <w:rsid w:val="00B72FD1"/>
    <w:rsid w:val="00B74D8A"/>
    <w:rsid w:val="00B82D4F"/>
    <w:rsid w:val="00B82E17"/>
    <w:rsid w:val="00B82ECA"/>
    <w:rsid w:val="00B835E6"/>
    <w:rsid w:val="00B836C1"/>
    <w:rsid w:val="00B84795"/>
    <w:rsid w:val="00B85BC7"/>
    <w:rsid w:val="00B86802"/>
    <w:rsid w:val="00B86B9E"/>
    <w:rsid w:val="00B917D6"/>
    <w:rsid w:val="00B954C6"/>
    <w:rsid w:val="00B966D4"/>
    <w:rsid w:val="00BA0738"/>
    <w:rsid w:val="00BA16DA"/>
    <w:rsid w:val="00BA17B0"/>
    <w:rsid w:val="00BA1B90"/>
    <w:rsid w:val="00BA2E51"/>
    <w:rsid w:val="00BA31D8"/>
    <w:rsid w:val="00BB1587"/>
    <w:rsid w:val="00BB2103"/>
    <w:rsid w:val="00BB226E"/>
    <w:rsid w:val="00BB2903"/>
    <w:rsid w:val="00BB3B5A"/>
    <w:rsid w:val="00BB71F8"/>
    <w:rsid w:val="00BC01B4"/>
    <w:rsid w:val="00BC1ECF"/>
    <w:rsid w:val="00BC5614"/>
    <w:rsid w:val="00BD11AE"/>
    <w:rsid w:val="00BD3693"/>
    <w:rsid w:val="00BD435B"/>
    <w:rsid w:val="00BD52E4"/>
    <w:rsid w:val="00BD6261"/>
    <w:rsid w:val="00BD7935"/>
    <w:rsid w:val="00BE1166"/>
    <w:rsid w:val="00BE2BBD"/>
    <w:rsid w:val="00BE4A54"/>
    <w:rsid w:val="00BE7208"/>
    <w:rsid w:val="00BE7ADF"/>
    <w:rsid w:val="00BE7F1F"/>
    <w:rsid w:val="00BF2EED"/>
    <w:rsid w:val="00C012DC"/>
    <w:rsid w:val="00C01AEB"/>
    <w:rsid w:val="00C038CD"/>
    <w:rsid w:val="00C03CAC"/>
    <w:rsid w:val="00C0447F"/>
    <w:rsid w:val="00C07450"/>
    <w:rsid w:val="00C07B10"/>
    <w:rsid w:val="00C07F58"/>
    <w:rsid w:val="00C119B5"/>
    <w:rsid w:val="00C128FC"/>
    <w:rsid w:val="00C14618"/>
    <w:rsid w:val="00C1720E"/>
    <w:rsid w:val="00C17AAA"/>
    <w:rsid w:val="00C209A7"/>
    <w:rsid w:val="00C21708"/>
    <w:rsid w:val="00C2197B"/>
    <w:rsid w:val="00C21B33"/>
    <w:rsid w:val="00C22E3E"/>
    <w:rsid w:val="00C248F0"/>
    <w:rsid w:val="00C25301"/>
    <w:rsid w:val="00C2580C"/>
    <w:rsid w:val="00C26FD7"/>
    <w:rsid w:val="00C31101"/>
    <w:rsid w:val="00C3195B"/>
    <w:rsid w:val="00C335DC"/>
    <w:rsid w:val="00C34ABE"/>
    <w:rsid w:val="00C4337F"/>
    <w:rsid w:val="00C4382E"/>
    <w:rsid w:val="00C464C6"/>
    <w:rsid w:val="00C47A02"/>
    <w:rsid w:val="00C53D0F"/>
    <w:rsid w:val="00C57FA9"/>
    <w:rsid w:val="00C610CE"/>
    <w:rsid w:val="00C63E17"/>
    <w:rsid w:val="00C67030"/>
    <w:rsid w:val="00C70745"/>
    <w:rsid w:val="00C72B99"/>
    <w:rsid w:val="00C72D22"/>
    <w:rsid w:val="00C773C1"/>
    <w:rsid w:val="00C816F3"/>
    <w:rsid w:val="00C82014"/>
    <w:rsid w:val="00C855A2"/>
    <w:rsid w:val="00C86AC7"/>
    <w:rsid w:val="00C913F9"/>
    <w:rsid w:val="00C9347F"/>
    <w:rsid w:val="00C96292"/>
    <w:rsid w:val="00C971BF"/>
    <w:rsid w:val="00C975DF"/>
    <w:rsid w:val="00C97FB3"/>
    <w:rsid w:val="00CA19FD"/>
    <w:rsid w:val="00CA256F"/>
    <w:rsid w:val="00CA664E"/>
    <w:rsid w:val="00CB0A0B"/>
    <w:rsid w:val="00CB389D"/>
    <w:rsid w:val="00CB544C"/>
    <w:rsid w:val="00CB623A"/>
    <w:rsid w:val="00CB719B"/>
    <w:rsid w:val="00CB7FB5"/>
    <w:rsid w:val="00CC0215"/>
    <w:rsid w:val="00CC13D4"/>
    <w:rsid w:val="00CC3D71"/>
    <w:rsid w:val="00CC635F"/>
    <w:rsid w:val="00CC6F42"/>
    <w:rsid w:val="00CC7509"/>
    <w:rsid w:val="00CD0242"/>
    <w:rsid w:val="00CD2DEC"/>
    <w:rsid w:val="00CD3A7E"/>
    <w:rsid w:val="00CD41ED"/>
    <w:rsid w:val="00CD4875"/>
    <w:rsid w:val="00CD4D28"/>
    <w:rsid w:val="00CE2DBB"/>
    <w:rsid w:val="00CE4096"/>
    <w:rsid w:val="00CE4EBA"/>
    <w:rsid w:val="00CE531D"/>
    <w:rsid w:val="00CE76A3"/>
    <w:rsid w:val="00CE7B3C"/>
    <w:rsid w:val="00CF0086"/>
    <w:rsid w:val="00CF0CFA"/>
    <w:rsid w:val="00CF1BA9"/>
    <w:rsid w:val="00CF286B"/>
    <w:rsid w:val="00D00482"/>
    <w:rsid w:val="00D03571"/>
    <w:rsid w:val="00D04444"/>
    <w:rsid w:val="00D04AA0"/>
    <w:rsid w:val="00D07F47"/>
    <w:rsid w:val="00D1262C"/>
    <w:rsid w:val="00D12AF1"/>
    <w:rsid w:val="00D14547"/>
    <w:rsid w:val="00D146E4"/>
    <w:rsid w:val="00D1488B"/>
    <w:rsid w:val="00D14CE4"/>
    <w:rsid w:val="00D15492"/>
    <w:rsid w:val="00D159AE"/>
    <w:rsid w:val="00D15AD1"/>
    <w:rsid w:val="00D172D5"/>
    <w:rsid w:val="00D21073"/>
    <w:rsid w:val="00D257E5"/>
    <w:rsid w:val="00D25A90"/>
    <w:rsid w:val="00D27636"/>
    <w:rsid w:val="00D30E61"/>
    <w:rsid w:val="00D314E5"/>
    <w:rsid w:val="00D3637E"/>
    <w:rsid w:val="00D371D4"/>
    <w:rsid w:val="00D413E6"/>
    <w:rsid w:val="00D41445"/>
    <w:rsid w:val="00D42CD9"/>
    <w:rsid w:val="00D43EC2"/>
    <w:rsid w:val="00D44CAA"/>
    <w:rsid w:val="00D4679A"/>
    <w:rsid w:val="00D5146A"/>
    <w:rsid w:val="00D51C68"/>
    <w:rsid w:val="00D51C89"/>
    <w:rsid w:val="00D51EE8"/>
    <w:rsid w:val="00D534D9"/>
    <w:rsid w:val="00D54373"/>
    <w:rsid w:val="00D5562E"/>
    <w:rsid w:val="00D55C2E"/>
    <w:rsid w:val="00D55F19"/>
    <w:rsid w:val="00D579C4"/>
    <w:rsid w:val="00D61871"/>
    <w:rsid w:val="00D6323E"/>
    <w:rsid w:val="00D6391D"/>
    <w:rsid w:val="00D63AB3"/>
    <w:rsid w:val="00D64EA0"/>
    <w:rsid w:val="00D65AC3"/>
    <w:rsid w:val="00D67920"/>
    <w:rsid w:val="00D72020"/>
    <w:rsid w:val="00D752A6"/>
    <w:rsid w:val="00D817B3"/>
    <w:rsid w:val="00D84F2C"/>
    <w:rsid w:val="00D85F55"/>
    <w:rsid w:val="00D905FB"/>
    <w:rsid w:val="00D916DF"/>
    <w:rsid w:val="00D9257E"/>
    <w:rsid w:val="00D933F2"/>
    <w:rsid w:val="00D93D43"/>
    <w:rsid w:val="00D967E8"/>
    <w:rsid w:val="00D96922"/>
    <w:rsid w:val="00D96EA8"/>
    <w:rsid w:val="00D9718A"/>
    <w:rsid w:val="00DA2257"/>
    <w:rsid w:val="00DA2EB2"/>
    <w:rsid w:val="00DA333B"/>
    <w:rsid w:val="00DA3F3D"/>
    <w:rsid w:val="00DA461C"/>
    <w:rsid w:val="00DA5DD7"/>
    <w:rsid w:val="00DA775D"/>
    <w:rsid w:val="00DB0B20"/>
    <w:rsid w:val="00DB1ED1"/>
    <w:rsid w:val="00DB2216"/>
    <w:rsid w:val="00DB2E15"/>
    <w:rsid w:val="00DB552F"/>
    <w:rsid w:val="00DB69D6"/>
    <w:rsid w:val="00DC0E2E"/>
    <w:rsid w:val="00DC184A"/>
    <w:rsid w:val="00DC1890"/>
    <w:rsid w:val="00DC1A7F"/>
    <w:rsid w:val="00DC227D"/>
    <w:rsid w:val="00DC5876"/>
    <w:rsid w:val="00DC727F"/>
    <w:rsid w:val="00DD0BE6"/>
    <w:rsid w:val="00DD4AF0"/>
    <w:rsid w:val="00DD7971"/>
    <w:rsid w:val="00DE2A68"/>
    <w:rsid w:val="00DE3C99"/>
    <w:rsid w:val="00DE44F2"/>
    <w:rsid w:val="00DE4CED"/>
    <w:rsid w:val="00DE7518"/>
    <w:rsid w:val="00DF5BB7"/>
    <w:rsid w:val="00DF65F5"/>
    <w:rsid w:val="00DF7CBC"/>
    <w:rsid w:val="00E03A19"/>
    <w:rsid w:val="00E067DE"/>
    <w:rsid w:val="00E0692D"/>
    <w:rsid w:val="00E22897"/>
    <w:rsid w:val="00E22FFE"/>
    <w:rsid w:val="00E2508C"/>
    <w:rsid w:val="00E25B93"/>
    <w:rsid w:val="00E27D28"/>
    <w:rsid w:val="00E30A12"/>
    <w:rsid w:val="00E315B6"/>
    <w:rsid w:val="00E33355"/>
    <w:rsid w:val="00E334AE"/>
    <w:rsid w:val="00E35139"/>
    <w:rsid w:val="00E36C71"/>
    <w:rsid w:val="00E37040"/>
    <w:rsid w:val="00E37C24"/>
    <w:rsid w:val="00E417D1"/>
    <w:rsid w:val="00E42897"/>
    <w:rsid w:val="00E439E8"/>
    <w:rsid w:val="00E452DA"/>
    <w:rsid w:val="00E467AD"/>
    <w:rsid w:val="00E46CD5"/>
    <w:rsid w:val="00E46D94"/>
    <w:rsid w:val="00E522C2"/>
    <w:rsid w:val="00E55C27"/>
    <w:rsid w:val="00E62982"/>
    <w:rsid w:val="00E63B4B"/>
    <w:rsid w:val="00E641AD"/>
    <w:rsid w:val="00E645D1"/>
    <w:rsid w:val="00E64808"/>
    <w:rsid w:val="00E659A3"/>
    <w:rsid w:val="00E719FF"/>
    <w:rsid w:val="00E722CA"/>
    <w:rsid w:val="00E73549"/>
    <w:rsid w:val="00E74FEF"/>
    <w:rsid w:val="00E76B05"/>
    <w:rsid w:val="00E771EC"/>
    <w:rsid w:val="00E80069"/>
    <w:rsid w:val="00E80C43"/>
    <w:rsid w:val="00E80DE8"/>
    <w:rsid w:val="00E82AB5"/>
    <w:rsid w:val="00E8386B"/>
    <w:rsid w:val="00E87148"/>
    <w:rsid w:val="00E878DD"/>
    <w:rsid w:val="00E90229"/>
    <w:rsid w:val="00E90F78"/>
    <w:rsid w:val="00E93916"/>
    <w:rsid w:val="00E94E78"/>
    <w:rsid w:val="00EA082B"/>
    <w:rsid w:val="00EA4734"/>
    <w:rsid w:val="00EA4FC8"/>
    <w:rsid w:val="00EA7DBD"/>
    <w:rsid w:val="00EB1B9E"/>
    <w:rsid w:val="00EB3443"/>
    <w:rsid w:val="00EB54C8"/>
    <w:rsid w:val="00EB7FBD"/>
    <w:rsid w:val="00EC00E1"/>
    <w:rsid w:val="00EC1078"/>
    <w:rsid w:val="00EC138E"/>
    <w:rsid w:val="00EC1749"/>
    <w:rsid w:val="00EC7335"/>
    <w:rsid w:val="00ED14E2"/>
    <w:rsid w:val="00ED4991"/>
    <w:rsid w:val="00ED4DAA"/>
    <w:rsid w:val="00EE2B6D"/>
    <w:rsid w:val="00EE2BFC"/>
    <w:rsid w:val="00EE411E"/>
    <w:rsid w:val="00EE5F15"/>
    <w:rsid w:val="00EF14FB"/>
    <w:rsid w:val="00EF1E5B"/>
    <w:rsid w:val="00EF205D"/>
    <w:rsid w:val="00F026FC"/>
    <w:rsid w:val="00F0295C"/>
    <w:rsid w:val="00F1247F"/>
    <w:rsid w:val="00F13A5C"/>
    <w:rsid w:val="00F15918"/>
    <w:rsid w:val="00F17AB3"/>
    <w:rsid w:val="00F21269"/>
    <w:rsid w:val="00F212EC"/>
    <w:rsid w:val="00F2212B"/>
    <w:rsid w:val="00F254E8"/>
    <w:rsid w:val="00F256E4"/>
    <w:rsid w:val="00F26434"/>
    <w:rsid w:val="00F27D81"/>
    <w:rsid w:val="00F30A56"/>
    <w:rsid w:val="00F32365"/>
    <w:rsid w:val="00F32AB6"/>
    <w:rsid w:val="00F33408"/>
    <w:rsid w:val="00F356B1"/>
    <w:rsid w:val="00F35BA6"/>
    <w:rsid w:val="00F363C9"/>
    <w:rsid w:val="00F377C0"/>
    <w:rsid w:val="00F44520"/>
    <w:rsid w:val="00F50CCA"/>
    <w:rsid w:val="00F557AB"/>
    <w:rsid w:val="00F563A3"/>
    <w:rsid w:val="00F56F36"/>
    <w:rsid w:val="00F600AA"/>
    <w:rsid w:val="00F632A7"/>
    <w:rsid w:val="00F67BDD"/>
    <w:rsid w:val="00F7004F"/>
    <w:rsid w:val="00F70DD4"/>
    <w:rsid w:val="00F70F30"/>
    <w:rsid w:val="00F731F0"/>
    <w:rsid w:val="00F7710F"/>
    <w:rsid w:val="00F77581"/>
    <w:rsid w:val="00F77F39"/>
    <w:rsid w:val="00F82977"/>
    <w:rsid w:val="00F84480"/>
    <w:rsid w:val="00F85514"/>
    <w:rsid w:val="00F855C2"/>
    <w:rsid w:val="00F93A4C"/>
    <w:rsid w:val="00F97A0A"/>
    <w:rsid w:val="00FB5CFD"/>
    <w:rsid w:val="00FB6FD7"/>
    <w:rsid w:val="00FB77DE"/>
    <w:rsid w:val="00FC0BE5"/>
    <w:rsid w:val="00FC0CBB"/>
    <w:rsid w:val="00FC0D0C"/>
    <w:rsid w:val="00FC5ACE"/>
    <w:rsid w:val="00FC65C8"/>
    <w:rsid w:val="00FD029A"/>
    <w:rsid w:val="00FD03F3"/>
    <w:rsid w:val="00FD204C"/>
    <w:rsid w:val="00FD21B8"/>
    <w:rsid w:val="00FD2729"/>
    <w:rsid w:val="00FD3AF4"/>
    <w:rsid w:val="00FE18F6"/>
    <w:rsid w:val="00FE1C45"/>
    <w:rsid w:val="00FE3224"/>
    <w:rsid w:val="00FE5E69"/>
    <w:rsid w:val="00FE6564"/>
    <w:rsid w:val="00FE7876"/>
    <w:rsid w:val="00FF0777"/>
    <w:rsid w:val="00FF0A9C"/>
    <w:rsid w:val="00FF1ABA"/>
    <w:rsid w:val="00FF3919"/>
    <w:rsid w:val="00FF5B84"/>
    <w:rsid w:val="00FF5C79"/>
    <w:rsid w:val="00FF70B5"/>
    <w:rsid w:val="1F866ACE"/>
    <w:rsid w:val="2A454F0A"/>
    <w:rsid w:val="2CF82958"/>
    <w:rsid w:val="30A3FAD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EF539"/>
  <w15:chartTrackingRefBased/>
  <w15:docId w15:val="{6D1F6672-F36D-4567-8E51-258F8D38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F12"/>
  </w:style>
  <w:style w:type="paragraph" w:styleId="Heading1">
    <w:name w:val="heading 1"/>
    <w:basedOn w:val="Normal"/>
    <w:next w:val="Normal"/>
    <w:link w:val="Heading1Char"/>
    <w:uiPriority w:val="9"/>
    <w:qFormat/>
    <w:rsid w:val="00E63B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3B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3B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3B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3B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3B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B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B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B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B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3B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3B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3B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3B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3B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B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B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B4B"/>
    <w:rPr>
      <w:rFonts w:eastAsiaTheme="majorEastAsia" w:cstheme="majorBidi"/>
      <w:color w:val="272727" w:themeColor="text1" w:themeTint="D8"/>
    </w:rPr>
  </w:style>
  <w:style w:type="paragraph" w:styleId="Title">
    <w:name w:val="Title"/>
    <w:basedOn w:val="Normal"/>
    <w:next w:val="Normal"/>
    <w:link w:val="TitleChar"/>
    <w:uiPriority w:val="10"/>
    <w:qFormat/>
    <w:rsid w:val="00E63B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B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B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B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B4B"/>
    <w:pPr>
      <w:spacing w:before="160"/>
      <w:jc w:val="center"/>
    </w:pPr>
    <w:rPr>
      <w:i/>
      <w:iCs/>
      <w:color w:val="404040" w:themeColor="text1" w:themeTint="BF"/>
    </w:rPr>
  </w:style>
  <w:style w:type="character" w:customStyle="1" w:styleId="QuoteChar">
    <w:name w:val="Quote Char"/>
    <w:basedOn w:val="DefaultParagraphFont"/>
    <w:link w:val="Quote"/>
    <w:uiPriority w:val="29"/>
    <w:rsid w:val="00E63B4B"/>
    <w:rPr>
      <w:i/>
      <w:iCs/>
      <w:color w:val="404040" w:themeColor="text1" w:themeTint="BF"/>
    </w:rPr>
  </w:style>
  <w:style w:type="paragraph" w:styleId="ListParagraph">
    <w:name w:val="List Paragraph"/>
    <w:basedOn w:val="Normal"/>
    <w:uiPriority w:val="34"/>
    <w:qFormat/>
    <w:rsid w:val="00E63B4B"/>
    <w:pPr>
      <w:ind w:left="720"/>
      <w:contextualSpacing/>
    </w:pPr>
  </w:style>
  <w:style w:type="character" w:styleId="IntenseEmphasis">
    <w:name w:val="Intense Emphasis"/>
    <w:basedOn w:val="DefaultParagraphFont"/>
    <w:uiPriority w:val="21"/>
    <w:qFormat/>
    <w:rsid w:val="00E63B4B"/>
    <w:rPr>
      <w:i/>
      <w:iCs/>
      <w:color w:val="0F4761" w:themeColor="accent1" w:themeShade="BF"/>
    </w:rPr>
  </w:style>
  <w:style w:type="paragraph" w:styleId="IntenseQuote">
    <w:name w:val="Intense Quote"/>
    <w:basedOn w:val="Normal"/>
    <w:next w:val="Normal"/>
    <w:link w:val="IntenseQuoteChar"/>
    <w:uiPriority w:val="30"/>
    <w:qFormat/>
    <w:rsid w:val="00E63B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3B4B"/>
    <w:rPr>
      <w:i/>
      <w:iCs/>
      <w:color w:val="0F4761" w:themeColor="accent1" w:themeShade="BF"/>
    </w:rPr>
  </w:style>
  <w:style w:type="character" w:styleId="IntenseReference">
    <w:name w:val="Intense Reference"/>
    <w:basedOn w:val="DefaultParagraphFont"/>
    <w:uiPriority w:val="32"/>
    <w:qFormat/>
    <w:rsid w:val="00E63B4B"/>
    <w:rPr>
      <w:b/>
      <w:bCs/>
      <w:smallCaps/>
      <w:color w:val="0F4761" w:themeColor="accent1" w:themeShade="BF"/>
      <w:spacing w:val="5"/>
    </w:rPr>
  </w:style>
  <w:style w:type="paragraph" w:styleId="Revision">
    <w:name w:val="Revision"/>
    <w:hidden/>
    <w:uiPriority w:val="99"/>
    <w:semiHidden/>
    <w:rsid w:val="006B2824"/>
    <w:pPr>
      <w:spacing w:after="0" w:line="240" w:lineRule="auto"/>
    </w:pPr>
  </w:style>
  <w:style w:type="character" w:styleId="CommentReference">
    <w:name w:val="annotation reference"/>
    <w:basedOn w:val="DefaultParagraphFont"/>
    <w:uiPriority w:val="99"/>
    <w:semiHidden/>
    <w:unhideWhenUsed/>
    <w:rsid w:val="003E5F3F"/>
    <w:rPr>
      <w:sz w:val="16"/>
      <w:szCs w:val="16"/>
    </w:rPr>
  </w:style>
  <w:style w:type="paragraph" w:styleId="CommentText">
    <w:name w:val="annotation text"/>
    <w:basedOn w:val="Normal"/>
    <w:link w:val="CommentTextChar"/>
    <w:uiPriority w:val="99"/>
    <w:unhideWhenUsed/>
    <w:rsid w:val="003E5F3F"/>
    <w:pPr>
      <w:spacing w:line="240" w:lineRule="auto"/>
    </w:pPr>
    <w:rPr>
      <w:sz w:val="20"/>
      <w:szCs w:val="20"/>
    </w:rPr>
  </w:style>
  <w:style w:type="character" w:customStyle="1" w:styleId="CommentTextChar">
    <w:name w:val="Comment Text Char"/>
    <w:basedOn w:val="DefaultParagraphFont"/>
    <w:link w:val="CommentText"/>
    <w:uiPriority w:val="99"/>
    <w:rsid w:val="003E5F3F"/>
    <w:rPr>
      <w:sz w:val="20"/>
      <w:szCs w:val="20"/>
    </w:rPr>
  </w:style>
  <w:style w:type="paragraph" w:styleId="CommentSubject">
    <w:name w:val="annotation subject"/>
    <w:basedOn w:val="CommentText"/>
    <w:next w:val="CommentText"/>
    <w:link w:val="CommentSubjectChar"/>
    <w:uiPriority w:val="99"/>
    <w:semiHidden/>
    <w:unhideWhenUsed/>
    <w:rsid w:val="003E5F3F"/>
    <w:rPr>
      <w:b/>
      <w:bCs/>
    </w:rPr>
  </w:style>
  <w:style w:type="character" w:customStyle="1" w:styleId="CommentSubjectChar">
    <w:name w:val="Comment Subject Char"/>
    <w:basedOn w:val="CommentTextChar"/>
    <w:link w:val="CommentSubject"/>
    <w:uiPriority w:val="99"/>
    <w:semiHidden/>
    <w:rsid w:val="003E5F3F"/>
    <w:rPr>
      <w:b/>
      <w:bCs/>
      <w:sz w:val="20"/>
      <w:szCs w:val="20"/>
    </w:rPr>
  </w:style>
  <w:style w:type="paragraph" w:styleId="FootnoteText">
    <w:name w:val="footnote text"/>
    <w:basedOn w:val="Normal"/>
    <w:link w:val="FootnoteTextChar"/>
    <w:uiPriority w:val="99"/>
    <w:semiHidden/>
    <w:unhideWhenUsed/>
    <w:rsid w:val="00DA33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333B"/>
    <w:rPr>
      <w:sz w:val="20"/>
      <w:szCs w:val="20"/>
    </w:rPr>
  </w:style>
  <w:style w:type="character" w:styleId="FootnoteReference">
    <w:name w:val="footnote reference"/>
    <w:basedOn w:val="DefaultParagraphFont"/>
    <w:uiPriority w:val="99"/>
    <w:semiHidden/>
    <w:unhideWhenUsed/>
    <w:rsid w:val="00DA333B"/>
    <w:rPr>
      <w:vertAlign w:val="superscript"/>
    </w:rPr>
  </w:style>
  <w:style w:type="paragraph" w:styleId="Header">
    <w:name w:val="header"/>
    <w:basedOn w:val="Normal"/>
    <w:link w:val="HeaderChar"/>
    <w:uiPriority w:val="99"/>
    <w:semiHidden/>
    <w:unhideWhenUsed/>
    <w:rsid w:val="002B76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76D4"/>
  </w:style>
  <w:style w:type="paragraph" w:styleId="Footer">
    <w:name w:val="footer"/>
    <w:basedOn w:val="Normal"/>
    <w:link w:val="FooterChar"/>
    <w:uiPriority w:val="99"/>
    <w:semiHidden/>
    <w:unhideWhenUsed/>
    <w:rsid w:val="002B76D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B7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F63F2-E777-43E5-98C5-BBCE172A1821}">
  <ds:schemaRefs>
    <ds:schemaRef ds:uri="http://schemas.openxmlformats.org/officeDocument/2006/bibliography"/>
  </ds:schemaRefs>
</ds:datastoreItem>
</file>

<file path=docMetadata/LabelInfo.xml><?xml version="1.0" encoding="utf-8"?>
<clbl:labelList xmlns:clbl="http://schemas.microsoft.com/office/2020/mipLabelMetadata">
  <clbl:label id="{39f93ef2-c5a9-47d6-a71f-b158220bc36b}" enabled="0" method="" siteId="{39f93ef2-c5a9-47d6-a71f-b158220bc36b}"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2254</Words>
  <Characters>12853</Characters>
  <Application>Microsoft Office Word</Application>
  <DocSecurity>0</DocSecurity>
  <Lines>107</Lines>
  <Paragraphs>30</Paragraphs>
  <ScaleCrop>false</ScaleCrop>
  <Company/>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fazilet hadi</dc:creator>
  <cp:keywords/>
  <dc:description/>
  <cp:lastModifiedBy>Róisín Spencer</cp:lastModifiedBy>
  <cp:revision>4</cp:revision>
  <cp:lastPrinted>2024-09-11T15:31:00Z</cp:lastPrinted>
  <dcterms:created xsi:type="dcterms:W3CDTF">2024-09-11T11:15:00Z</dcterms:created>
  <dcterms:modified xsi:type="dcterms:W3CDTF">2024-09-11T14:09:00Z</dcterms:modified>
</cp:coreProperties>
</file>