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521" w:rsidRDefault="00861521" w:rsidP="00861521">
      <w:bookmarkStart w:id="0" w:name="_GoBack"/>
      <w:bookmarkEnd w:id="0"/>
    </w:p>
    <w:p w:rsidR="00233A4D" w:rsidRDefault="00233A4D" w:rsidP="00861521">
      <w:pPr>
        <w:rPr>
          <w:u w:val="single"/>
        </w:rPr>
      </w:pPr>
    </w:p>
    <w:p w:rsidR="00861521" w:rsidRPr="003E1F17" w:rsidRDefault="006E40D0" w:rsidP="00861521">
      <w:pPr>
        <w:rPr>
          <w:u w:val="single"/>
        </w:rPr>
      </w:pPr>
      <w:r>
        <w:rPr>
          <w:u w:val="single"/>
        </w:rPr>
        <w:t>Disability Rights UK</w:t>
      </w:r>
      <w:r w:rsidR="00DC4E09" w:rsidRPr="003E1F17">
        <w:rPr>
          <w:u w:val="single"/>
        </w:rPr>
        <w:t xml:space="preserve"> </w:t>
      </w:r>
      <w:r w:rsidR="003E1F17" w:rsidRPr="003E1F17">
        <w:rPr>
          <w:u w:val="single"/>
        </w:rPr>
        <w:t>Supported Housing consultation submission</w:t>
      </w:r>
    </w:p>
    <w:p w:rsidR="00DC4E09" w:rsidRDefault="00DC4E09" w:rsidP="00861521"/>
    <w:p w:rsidR="00233A4D" w:rsidRPr="00233A4D" w:rsidRDefault="00233A4D" w:rsidP="00861521">
      <w:pPr>
        <w:rPr>
          <w:u w:val="single"/>
        </w:rPr>
      </w:pPr>
      <w:r w:rsidRPr="00233A4D">
        <w:rPr>
          <w:u w:val="single"/>
        </w:rPr>
        <w:t>The current system</w:t>
      </w:r>
    </w:p>
    <w:p w:rsidR="00233A4D" w:rsidRDefault="00233A4D" w:rsidP="00861521"/>
    <w:p w:rsidR="00861521" w:rsidRDefault="00861521" w:rsidP="00861521">
      <w:r>
        <w:t xml:space="preserve">A </w:t>
      </w:r>
      <w:hyperlink r:id="rId7" w:history="1">
        <w:r>
          <w:rPr>
            <w:rStyle w:val="Hyperlink"/>
          </w:rPr>
          <w:t>2010 DWP report</w:t>
        </w:r>
      </w:hyperlink>
      <w:r w:rsidRPr="00151840">
        <w:t xml:space="preserve"> suggested that </w:t>
      </w:r>
      <w:r w:rsidR="00DC4E09">
        <w:t>around three in four of those</w:t>
      </w:r>
      <w:r>
        <w:t xml:space="preserve"> </w:t>
      </w:r>
      <w:r w:rsidRPr="00151840">
        <w:t xml:space="preserve">living in supported accommodation </w:t>
      </w:r>
      <w:r>
        <w:t>were disabled people (</w:t>
      </w:r>
      <w:r w:rsidRPr="00151840">
        <w:t xml:space="preserve">25% had a learning disability, 42% had a physical disability, </w:t>
      </w:r>
      <w:r>
        <w:t>and</w:t>
      </w:r>
      <w:r w:rsidRPr="00151840">
        <w:t xml:space="preserve"> 5% had a significant mental health problem</w:t>
      </w:r>
      <w:r>
        <w:t>).</w:t>
      </w:r>
    </w:p>
    <w:p w:rsidR="00861521" w:rsidRDefault="00861521" w:rsidP="007C385F"/>
    <w:p w:rsidR="00233A4D" w:rsidRDefault="00233A4D" w:rsidP="007C385F">
      <w:r>
        <w:t>This means that any change to the current supported housing funding model will most directly affect disabled people.</w:t>
      </w:r>
    </w:p>
    <w:p w:rsidR="00233A4D" w:rsidRDefault="00233A4D" w:rsidP="007C385F"/>
    <w:p w:rsidR="007C385F" w:rsidRDefault="007C385F" w:rsidP="007C385F">
      <w:r w:rsidRPr="007C385F">
        <w:t xml:space="preserve">For those </w:t>
      </w:r>
      <w:bookmarkStart w:id="1" w:name="_Toc40880"/>
      <w:r w:rsidRPr="007C385F">
        <w:t xml:space="preserve">supported housing </w:t>
      </w:r>
      <w:bookmarkEnd w:id="1"/>
      <w:r w:rsidR="00A95BDB">
        <w:t>tenants</w:t>
      </w:r>
      <w:r w:rsidRPr="007C385F">
        <w:t xml:space="preserve"> who are eligible to receive Housing Benefit, it can help with all or part of their rent payments.   </w:t>
      </w:r>
    </w:p>
    <w:p w:rsidR="007C385F" w:rsidRDefault="007C385F" w:rsidP="007C385F"/>
    <w:p w:rsidR="00233A4D" w:rsidRDefault="007C385F" w:rsidP="00861521">
      <w:r w:rsidRPr="007C385F">
        <w:t xml:space="preserve">Rent levels in supported housing tend to be higher than those charged for similar accommodation in the private sector. </w:t>
      </w:r>
    </w:p>
    <w:p w:rsidR="00233A4D" w:rsidRDefault="00233A4D" w:rsidP="00861521"/>
    <w:p w:rsidR="007C385F" w:rsidRPr="007C385F" w:rsidRDefault="007C385F" w:rsidP="00861521">
      <w:r w:rsidRPr="007C385F">
        <w:t xml:space="preserve">Supported housing is often purpose built to enable </w:t>
      </w:r>
      <w:r w:rsidR="002F7096">
        <w:t xml:space="preserve">disabled people </w:t>
      </w:r>
      <w:r w:rsidRPr="007C385F">
        <w:t>to lead more independent lives, with greater accessibility, more space or specific adaptations included</w:t>
      </w:r>
      <w:r w:rsidR="00861521" w:rsidRPr="00861521">
        <w:rPr>
          <w:rFonts w:eastAsia="Calibri"/>
          <w:color w:val="000000"/>
          <w:lang w:eastAsia="en-GB"/>
        </w:rPr>
        <w:t xml:space="preserve"> </w:t>
      </w:r>
      <w:r w:rsidR="00861521">
        <w:rPr>
          <w:rFonts w:eastAsia="Calibri"/>
          <w:color w:val="000000"/>
          <w:lang w:eastAsia="en-GB"/>
        </w:rPr>
        <w:t xml:space="preserve">and </w:t>
      </w:r>
      <w:r w:rsidR="00233A4D">
        <w:rPr>
          <w:rFonts w:eastAsia="Calibri"/>
          <w:color w:val="000000"/>
          <w:lang w:eastAsia="en-GB"/>
        </w:rPr>
        <w:t xml:space="preserve">often </w:t>
      </w:r>
      <w:r w:rsidR="002F7096">
        <w:rPr>
          <w:rFonts w:eastAsia="Calibri"/>
          <w:color w:val="000000"/>
          <w:lang w:eastAsia="en-GB"/>
        </w:rPr>
        <w:t>involv</w:t>
      </w:r>
      <w:r w:rsidR="00233A4D">
        <w:rPr>
          <w:rFonts w:eastAsia="Calibri"/>
          <w:color w:val="000000"/>
          <w:lang w:eastAsia="en-GB"/>
        </w:rPr>
        <w:t>es</w:t>
      </w:r>
      <w:r w:rsidR="002F7096">
        <w:rPr>
          <w:rFonts w:eastAsia="Calibri"/>
          <w:color w:val="000000"/>
          <w:lang w:eastAsia="en-GB"/>
        </w:rPr>
        <w:t xml:space="preserve"> </w:t>
      </w:r>
      <w:r w:rsidR="00861521" w:rsidRPr="00861521">
        <w:rPr>
          <w:rFonts w:eastAsia="Calibri"/>
          <w:color w:val="000000"/>
          <w:lang w:eastAsia="en-GB"/>
        </w:rPr>
        <w:t>additional housing management costs</w:t>
      </w:r>
      <w:r w:rsidR="00861521">
        <w:t>.</w:t>
      </w:r>
      <w:r w:rsidRPr="007C385F">
        <w:t xml:space="preserve"> </w:t>
      </w:r>
    </w:p>
    <w:p w:rsidR="00820F99" w:rsidRDefault="00820F99" w:rsidP="007C385F"/>
    <w:p w:rsidR="00A8507C" w:rsidRDefault="00861521" w:rsidP="00861521">
      <w:r>
        <w:t>Disabled people living</w:t>
      </w:r>
      <w:r w:rsidRPr="00861521">
        <w:t xml:space="preserve"> in supported housing owned and managed by a local authority normally have their rent met in full by Housing Benefit.</w:t>
      </w:r>
      <w:r>
        <w:t xml:space="preserve"> </w:t>
      </w:r>
    </w:p>
    <w:p w:rsidR="00A8507C" w:rsidRDefault="00A8507C" w:rsidP="00861521"/>
    <w:p w:rsidR="00861521" w:rsidRPr="00861521" w:rsidRDefault="00861521" w:rsidP="00861521">
      <w:r w:rsidRPr="00861521">
        <w:t xml:space="preserve">Supported housing </w:t>
      </w:r>
      <w:r w:rsidR="002F7096">
        <w:t>tenan</w:t>
      </w:r>
      <w:r w:rsidRPr="00861521">
        <w:t xml:space="preserve">ts whose landlord is a housing association, registered charity, voluntary organisation or county council have their Housing Benefit based on more </w:t>
      </w:r>
      <w:r w:rsidR="00A8507C">
        <w:t>“</w:t>
      </w:r>
      <w:r w:rsidRPr="00861521">
        <w:t>generous rules</w:t>
      </w:r>
      <w:r w:rsidR="00A8507C">
        <w:t>”</w:t>
      </w:r>
      <w:r w:rsidRPr="00861521">
        <w:t xml:space="preserve"> than those livi</w:t>
      </w:r>
      <w:r w:rsidR="00A8507C">
        <w:t>ng in mainstream accommodation.</w:t>
      </w:r>
    </w:p>
    <w:p w:rsidR="00A8507C" w:rsidRDefault="00A8507C" w:rsidP="00861521"/>
    <w:p w:rsidR="00861521" w:rsidRPr="00861521" w:rsidRDefault="00861521" w:rsidP="00861521">
      <w:r w:rsidRPr="00861521">
        <w:t xml:space="preserve">Essentially, supported housing that meets certain criteria is treated as </w:t>
      </w:r>
    </w:p>
    <w:p w:rsidR="00861521" w:rsidRPr="00861521" w:rsidRDefault="002F7096" w:rsidP="00861521">
      <w:pPr>
        <w:rPr>
          <w:lang w:eastAsia="en-GB"/>
        </w:rPr>
      </w:pPr>
      <w:r>
        <w:t>“</w:t>
      </w:r>
      <w:r w:rsidR="00861521" w:rsidRPr="00861521">
        <w:t>exempt accommodation</w:t>
      </w:r>
      <w:r>
        <w:t>”</w:t>
      </w:r>
      <w:r w:rsidR="00861521" w:rsidRPr="00861521">
        <w:t xml:space="preserve"> </w:t>
      </w:r>
      <w:r w:rsidR="00A8507C">
        <w:t xml:space="preserve">or </w:t>
      </w:r>
      <w:r>
        <w:t>“</w:t>
      </w:r>
      <w:r w:rsidR="00861521" w:rsidRPr="00A8507C">
        <w:t>specified accommodation”</w:t>
      </w:r>
      <w:r w:rsidR="00A8507C" w:rsidRPr="00861521">
        <w:t xml:space="preserve"> </w:t>
      </w:r>
      <w:r w:rsidR="00A8507C">
        <w:t xml:space="preserve">for Housing Benefit purposes. </w:t>
      </w:r>
      <w:r w:rsidR="00861521" w:rsidRPr="00861521">
        <w:t xml:space="preserve">Housing Benefit Regulations, which limit rents to defined local levels, </w:t>
      </w:r>
      <w:r w:rsidR="00A8507C">
        <w:t>do</w:t>
      </w:r>
      <w:r w:rsidR="00861521" w:rsidRPr="00861521">
        <w:t xml:space="preserve"> not applied to accommodation where the housing association or voluntary organisation provides care, support or supervision</w:t>
      </w:r>
      <w:r w:rsidR="00A8507C">
        <w:t>.</w:t>
      </w:r>
      <w:r w:rsidR="00861521" w:rsidRPr="00861521">
        <w:rPr>
          <w:lang w:eastAsia="en-GB"/>
        </w:rPr>
        <w:t xml:space="preserve"> </w:t>
      </w:r>
    </w:p>
    <w:p w:rsidR="00233A4D" w:rsidRDefault="00233A4D" w:rsidP="00DC4E09">
      <w:pPr>
        <w:keepNext/>
        <w:keepLines/>
        <w:numPr>
          <w:ilvl w:val="1"/>
          <w:numId w:val="0"/>
        </w:numPr>
        <w:spacing w:after="4" w:line="254" w:lineRule="auto"/>
        <w:ind w:right="2505"/>
        <w:outlineLvl w:val="1"/>
      </w:pPr>
    </w:p>
    <w:p w:rsidR="006E40D0" w:rsidRDefault="006E40D0" w:rsidP="00DC4E09">
      <w:pPr>
        <w:keepNext/>
        <w:keepLines/>
        <w:numPr>
          <w:ilvl w:val="1"/>
          <w:numId w:val="0"/>
        </w:numPr>
        <w:spacing w:after="4" w:line="254" w:lineRule="auto"/>
        <w:ind w:right="2505"/>
        <w:outlineLvl w:val="1"/>
        <w:rPr>
          <w:u w:val="single"/>
        </w:rPr>
      </w:pPr>
    </w:p>
    <w:p w:rsidR="006E40D0" w:rsidRDefault="006E40D0" w:rsidP="00DC4E09">
      <w:pPr>
        <w:keepNext/>
        <w:keepLines/>
        <w:numPr>
          <w:ilvl w:val="1"/>
          <w:numId w:val="0"/>
        </w:numPr>
        <w:spacing w:after="4" w:line="254" w:lineRule="auto"/>
        <w:ind w:right="2505"/>
        <w:outlineLvl w:val="1"/>
        <w:rPr>
          <w:u w:val="single"/>
        </w:rPr>
      </w:pPr>
    </w:p>
    <w:p w:rsidR="00DC4E09" w:rsidRPr="00DC4E09" w:rsidRDefault="00DC4E09" w:rsidP="00DC4E09">
      <w:pPr>
        <w:keepNext/>
        <w:keepLines/>
        <w:numPr>
          <w:ilvl w:val="1"/>
          <w:numId w:val="0"/>
        </w:numPr>
        <w:spacing w:after="4" w:line="254" w:lineRule="auto"/>
        <w:ind w:right="2505"/>
        <w:outlineLvl w:val="1"/>
        <w:rPr>
          <w:u w:val="single"/>
        </w:rPr>
      </w:pPr>
      <w:r w:rsidRPr="00DC4E09">
        <w:rPr>
          <w:u w:val="single"/>
        </w:rPr>
        <w:t>The consultation proposals</w:t>
      </w:r>
    </w:p>
    <w:p w:rsidR="00DC4E09" w:rsidRDefault="00DC4E09" w:rsidP="00A8507C">
      <w:pPr>
        <w:rPr>
          <w:rFonts w:eastAsia="Calibri"/>
          <w:color w:val="000000"/>
          <w:lang w:eastAsia="en-GB"/>
        </w:rPr>
      </w:pPr>
    </w:p>
    <w:p w:rsidR="00A8507C" w:rsidRDefault="00A8507C" w:rsidP="00A8507C">
      <w:pPr>
        <w:rPr>
          <w:rFonts w:eastAsia="Calibri"/>
          <w:color w:val="000000"/>
          <w:lang w:eastAsia="en-GB"/>
        </w:rPr>
      </w:pPr>
      <w:r>
        <w:rPr>
          <w:rFonts w:eastAsia="Calibri"/>
          <w:color w:val="000000"/>
          <w:lang w:eastAsia="en-GB"/>
        </w:rPr>
        <w:t>The consultation proposes</w:t>
      </w:r>
      <w:r w:rsidRPr="00A8507C">
        <w:rPr>
          <w:rFonts w:eastAsia="Calibri"/>
          <w:color w:val="000000"/>
          <w:lang w:eastAsia="en-GB"/>
        </w:rPr>
        <w:t xml:space="preserve"> that Housing Benefit claimants living in </w:t>
      </w:r>
      <w:r>
        <w:rPr>
          <w:rFonts w:eastAsia="Calibri"/>
          <w:color w:val="000000"/>
          <w:lang w:eastAsia="en-GB"/>
        </w:rPr>
        <w:t>accommodation</w:t>
      </w:r>
      <w:r w:rsidRPr="00A8507C">
        <w:rPr>
          <w:rFonts w:eastAsia="Calibri"/>
          <w:color w:val="000000"/>
          <w:lang w:eastAsia="en-GB"/>
        </w:rPr>
        <w:t xml:space="preserve"> rented from a social landlord (local authority or housing association)</w:t>
      </w:r>
      <w:r>
        <w:rPr>
          <w:rFonts w:eastAsia="Calibri"/>
          <w:color w:val="000000"/>
          <w:lang w:eastAsia="en-GB"/>
        </w:rPr>
        <w:t xml:space="preserve"> will </w:t>
      </w:r>
      <w:r w:rsidRPr="00A8507C">
        <w:rPr>
          <w:rFonts w:eastAsia="Calibri"/>
          <w:color w:val="000000"/>
          <w:lang w:eastAsia="en-GB"/>
        </w:rPr>
        <w:t xml:space="preserve">face future restrictions on the amount of Housing Benefit they </w:t>
      </w:r>
      <w:r>
        <w:rPr>
          <w:rFonts w:eastAsia="Calibri"/>
          <w:color w:val="000000"/>
          <w:lang w:eastAsia="en-GB"/>
        </w:rPr>
        <w:t>can</w:t>
      </w:r>
      <w:r w:rsidRPr="00A8507C">
        <w:rPr>
          <w:rFonts w:eastAsia="Calibri"/>
          <w:color w:val="000000"/>
          <w:lang w:eastAsia="en-GB"/>
        </w:rPr>
        <w:t xml:space="preserve"> receive</w:t>
      </w:r>
      <w:r>
        <w:rPr>
          <w:rFonts w:eastAsia="Calibri"/>
          <w:color w:val="000000"/>
          <w:lang w:eastAsia="en-GB"/>
        </w:rPr>
        <w:t>.</w:t>
      </w:r>
    </w:p>
    <w:p w:rsidR="00A8507C" w:rsidRDefault="00A8507C" w:rsidP="00A8507C">
      <w:pPr>
        <w:rPr>
          <w:rFonts w:eastAsia="Calibri"/>
          <w:color w:val="000000"/>
          <w:lang w:eastAsia="en-GB"/>
        </w:rPr>
      </w:pPr>
    </w:p>
    <w:p w:rsidR="00A95BDB" w:rsidRPr="00A95BDB" w:rsidRDefault="00A95BDB" w:rsidP="00A95BDB">
      <w:r>
        <w:t xml:space="preserve">The new model will mean that </w:t>
      </w:r>
      <w:r w:rsidRPr="00A95BDB">
        <w:t>rent and service charges will be funded through Universal Credit and</w:t>
      </w:r>
      <w:r>
        <w:t xml:space="preserve"> </w:t>
      </w:r>
      <w:r w:rsidRPr="00A95BDB">
        <w:t xml:space="preserve">where Universal Credit has yet to be </w:t>
      </w:r>
    </w:p>
    <w:p w:rsidR="00A95BDB" w:rsidRDefault="00A95BDB" w:rsidP="00A95BDB">
      <w:r w:rsidRPr="00A95BDB">
        <w:t xml:space="preserve">fully rolled out) up to the level of the applicable </w:t>
      </w:r>
      <w:r w:rsidR="00DC4E09">
        <w:t>local housing allowance (</w:t>
      </w:r>
      <w:r w:rsidRPr="00A95BDB">
        <w:t>LHA</w:t>
      </w:r>
      <w:r w:rsidR="00DC4E09">
        <w:t>)</w:t>
      </w:r>
      <w:r w:rsidRPr="00A95BDB">
        <w:t xml:space="preserve"> rate. </w:t>
      </w:r>
    </w:p>
    <w:p w:rsidR="00A95BDB" w:rsidRDefault="00A95BDB" w:rsidP="00A95BDB"/>
    <w:p w:rsidR="00A95BDB" w:rsidRPr="00A95BDB" w:rsidRDefault="00A95BDB" w:rsidP="00A95BDB">
      <w:r w:rsidRPr="00A95BDB">
        <w:t xml:space="preserve">The new model will devolve funding to local authorities in England to provide a ‘top-up’ </w:t>
      </w:r>
      <w:r>
        <w:t xml:space="preserve">to providers to </w:t>
      </w:r>
      <w:r w:rsidRPr="00A95BDB">
        <w:t xml:space="preserve">reflect the higher costs of offering </w:t>
      </w:r>
    </w:p>
    <w:p w:rsidR="00A95BDB" w:rsidRPr="00A95BDB" w:rsidRDefault="00A95BDB" w:rsidP="00A95BDB">
      <w:r w:rsidRPr="00A95BDB">
        <w:t xml:space="preserve">supported housing. </w:t>
      </w:r>
    </w:p>
    <w:p w:rsidR="00A95BDB" w:rsidRDefault="00A95BDB" w:rsidP="00A95BDB"/>
    <w:p w:rsidR="00CE2999" w:rsidRPr="00CE2999" w:rsidRDefault="00CE2999" w:rsidP="00CE2999">
      <w:r>
        <w:t xml:space="preserve">The Government says that it </w:t>
      </w:r>
      <w:r w:rsidRPr="00CE2999">
        <w:t xml:space="preserve">will </w:t>
      </w:r>
      <w:r>
        <w:t>“</w:t>
      </w:r>
      <w:r w:rsidRPr="00CE2999">
        <w:t>ring</w:t>
      </w:r>
      <w:r>
        <w:t xml:space="preserve"> </w:t>
      </w:r>
      <w:r w:rsidRPr="00CE2999">
        <w:t xml:space="preserve">-fence the top-up fund to ensure it </w:t>
      </w:r>
      <w:r>
        <w:t xml:space="preserve">continues to support vulnerable </w:t>
      </w:r>
      <w:r w:rsidRPr="00CE2999">
        <w:t>people.</w:t>
      </w:r>
      <w:r>
        <w:t>”</w:t>
      </w:r>
      <w:r w:rsidRPr="00CE2999">
        <w:t xml:space="preserve"> The amount of top-up funding will be set </w:t>
      </w:r>
      <w:r>
        <w:t>“</w:t>
      </w:r>
      <w:r w:rsidRPr="00CE2999">
        <w:t>on the basis of current projections of future need</w:t>
      </w:r>
      <w:r>
        <w:t>”</w:t>
      </w:r>
      <w:r w:rsidRPr="00CE2999">
        <w:t xml:space="preserve">. </w:t>
      </w:r>
    </w:p>
    <w:p w:rsidR="00A95BDB" w:rsidRDefault="00A95BDB" w:rsidP="00A95BDB"/>
    <w:p w:rsidR="00CE2999" w:rsidRPr="003E1F17" w:rsidRDefault="00CE2999" w:rsidP="00CE2999">
      <w:pPr>
        <w:rPr>
          <w:u w:val="single"/>
        </w:rPr>
      </w:pPr>
      <w:r w:rsidRPr="003E1F17">
        <w:rPr>
          <w:u w:val="single"/>
        </w:rPr>
        <w:t>Our concerns as to the proposed new model are as follows.</w:t>
      </w:r>
    </w:p>
    <w:p w:rsidR="00CE2999" w:rsidRDefault="00CE2999" w:rsidP="00CE2999"/>
    <w:p w:rsidR="00DD4AA5" w:rsidRDefault="0054446B" w:rsidP="00CE2999">
      <w:r>
        <w:t>The new model</w:t>
      </w:r>
      <w:r w:rsidR="00DD4AA5">
        <w:t xml:space="preserve"> is a m</w:t>
      </w:r>
      <w:r w:rsidR="00CE2999" w:rsidRPr="00CE2999">
        <w:t xml:space="preserve">ove from a system that supports </w:t>
      </w:r>
      <w:r w:rsidR="00DD4AA5">
        <w:t xml:space="preserve">disabled people’s </w:t>
      </w:r>
      <w:r w:rsidR="00CE2999" w:rsidRPr="00CE2999">
        <w:t>rights, entitlement and choice to a discretionary system</w:t>
      </w:r>
      <w:r w:rsidR="00DD4AA5">
        <w:t>.</w:t>
      </w:r>
      <w:r w:rsidR="00CE2999" w:rsidRPr="00CE2999">
        <w:t xml:space="preserve"> </w:t>
      </w:r>
    </w:p>
    <w:p w:rsidR="00DD4AA5" w:rsidRDefault="00DD4AA5" w:rsidP="00CE2999"/>
    <w:p w:rsidR="002F7096" w:rsidRDefault="00DD4AA5" w:rsidP="00CE2999">
      <w:r>
        <w:t xml:space="preserve">Disabled people </w:t>
      </w:r>
      <w:r w:rsidR="00CE2999" w:rsidRPr="00CE2999">
        <w:t xml:space="preserve">would </w:t>
      </w:r>
      <w:r w:rsidRPr="00CE2999">
        <w:t>lose</w:t>
      </w:r>
      <w:r w:rsidR="00CE2999" w:rsidRPr="00CE2999">
        <w:t xml:space="preserve"> their previous </w:t>
      </w:r>
      <w:r>
        <w:t xml:space="preserve">legal </w:t>
      </w:r>
      <w:r w:rsidR="00CE2999" w:rsidRPr="00CE2999">
        <w:t>entitlement to support through housing benefit, to a discretionary pot of fundi</w:t>
      </w:r>
      <w:r>
        <w:t xml:space="preserve">ng </w:t>
      </w:r>
      <w:r w:rsidR="00CE2999" w:rsidRPr="00CE2999">
        <w:t>subject to locally set priorities</w:t>
      </w:r>
      <w:r>
        <w:t>.</w:t>
      </w:r>
      <w:r w:rsidR="00CE2999" w:rsidRPr="00CE2999">
        <w:t xml:space="preserve"> </w:t>
      </w:r>
    </w:p>
    <w:p w:rsidR="002F7096" w:rsidRDefault="002F7096" w:rsidP="00CE2999"/>
    <w:p w:rsidR="00DD4AA5" w:rsidRDefault="00CE2999" w:rsidP="00CE2999">
      <w:r w:rsidRPr="00CE2999">
        <w:t>Th</w:t>
      </w:r>
      <w:r w:rsidR="00DD4AA5">
        <w:t xml:space="preserve">is is in the context of continuing and increasing pressures on local authorities’ finance </w:t>
      </w:r>
      <w:r w:rsidRPr="00CE2999">
        <w:t xml:space="preserve">that </w:t>
      </w:r>
      <w:r w:rsidR="00DD4AA5">
        <w:t>has</w:t>
      </w:r>
      <w:r w:rsidRPr="00CE2999">
        <w:t xml:space="preserve"> </w:t>
      </w:r>
      <w:r w:rsidR="00DD4AA5">
        <w:t xml:space="preserve">already </w:t>
      </w:r>
      <w:r w:rsidRPr="00CE2999">
        <w:t xml:space="preserve">led to large reductions in services </w:t>
      </w:r>
      <w:r w:rsidR="00DD4AA5">
        <w:t>to disabled people.</w:t>
      </w:r>
    </w:p>
    <w:p w:rsidR="0054446B" w:rsidRDefault="0054446B" w:rsidP="00CE2999"/>
    <w:p w:rsidR="00233A4D" w:rsidRDefault="0054446B" w:rsidP="00CE2999">
      <w:r>
        <w:t xml:space="preserve">In addition, it will be introduced at a time when many disabled people are likely to experience large falls in their benefit income. </w:t>
      </w:r>
    </w:p>
    <w:p w:rsidR="00233A4D" w:rsidRDefault="00233A4D" w:rsidP="00CE2999"/>
    <w:p w:rsidR="0054446B" w:rsidRDefault="0054446B" w:rsidP="00CE2999">
      <w:r>
        <w:t xml:space="preserve">These include the reduction in disabled people awarded Personal Independence Payment compared to Disability Living Allowance: the removal of the work related activity component from Employment </w:t>
      </w:r>
      <w:r>
        <w:lastRenderedPageBreak/>
        <w:t>Support Allowance; and the absence of the severe disability premium from Universal Credit.</w:t>
      </w:r>
    </w:p>
    <w:p w:rsidR="00DD4AA5" w:rsidRDefault="00DD4AA5" w:rsidP="00CE2999"/>
    <w:p w:rsidR="0054446B" w:rsidRDefault="0054446B" w:rsidP="00CE2999">
      <w:r>
        <w:t xml:space="preserve">It is essential that if disabled people are only to be awarded the LHA rate of Housing Benefit then their supported housing rental liability </w:t>
      </w:r>
      <w:r w:rsidR="00233A4D">
        <w:t>can</w:t>
      </w:r>
      <w:r>
        <w:t>not b</w:t>
      </w:r>
      <w:r w:rsidR="00233A4D">
        <w:t>e</w:t>
      </w:r>
      <w:r>
        <w:t xml:space="preserve"> set by their landlord’s at a higher rate.</w:t>
      </w:r>
    </w:p>
    <w:p w:rsidR="0054446B" w:rsidRDefault="0054446B" w:rsidP="00CE2999"/>
    <w:p w:rsidR="0054446B" w:rsidRDefault="0054446B" w:rsidP="00CE2999">
      <w:r>
        <w:t xml:space="preserve">As the LHA rate fluctuates so must </w:t>
      </w:r>
      <w:r w:rsidR="00D8692D">
        <w:t xml:space="preserve">supported housing tenant’s </w:t>
      </w:r>
      <w:r>
        <w:t>legal rent liability fall or rise with it.</w:t>
      </w:r>
    </w:p>
    <w:p w:rsidR="00D8692D" w:rsidRDefault="00D8692D" w:rsidP="00CE2999"/>
    <w:p w:rsidR="00D8692D" w:rsidRDefault="00D8692D" w:rsidP="00CE2999">
      <w:r>
        <w:t>Not to do so would jeopardise the security that supported housing itself is meant to provide.</w:t>
      </w:r>
    </w:p>
    <w:p w:rsidR="0054446B" w:rsidRDefault="0054446B" w:rsidP="00CE2999"/>
    <w:p w:rsidR="00CE2999" w:rsidRPr="00CE2999" w:rsidRDefault="00D8692D" w:rsidP="00CE2999">
      <w:r>
        <w:t>In addition</w:t>
      </w:r>
      <w:r w:rsidR="002F7096">
        <w:t xml:space="preserve">, </w:t>
      </w:r>
      <w:r>
        <w:t xml:space="preserve">we are concerned that </w:t>
      </w:r>
      <w:r w:rsidR="002F7096">
        <w:t>the consultation document does not specify -</w:t>
      </w:r>
    </w:p>
    <w:p w:rsidR="002F7096" w:rsidRDefault="002F7096" w:rsidP="002F7096">
      <w:pPr>
        <w:pStyle w:val="ListParagraph"/>
        <w:numPr>
          <w:ilvl w:val="0"/>
          <w:numId w:val="2"/>
        </w:numPr>
      </w:pPr>
      <w:r>
        <w:t>h</w:t>
      </w:r>
      <w:r w:rsidR="00CE2999" w:rsidRPr="00CE2999">
        <w:t>ow long the ring-fence</w:t>
      </w:r>
      <w:r>
        <w:t xml:space="preserve"> top-up support to local authorities will last;</w:t>
      </w:r>
    </w:p>
    <w:p w:rsidR="00CE2999" w:rsidRPr="00CE2999" w:rsidRDefault="002F7096" w:rsidP="002F7096">
      <w:pPr>
        <w:pStyle w:val="ListParagraph"/>
        <w:numPr>
          <w:ilvl w:val="0"/>
          <w:numId w:val="2"/>
        </w:numPr>
      </w:pPr>
      <w:r>
        <w:t>how those</w:t>
      </w:r>
      <w:r w:rsidR="00CE2999" w:rsidRPr="00CE2999">
        <w:t xml:space="preserve"> </w:t>
      </w:r>
      <w:r>
        <w:t xml:space="preserve">disabled people </w:t>
      </w:r>
      <w:r w:rsidR="00CE2999" w:rsidRPr="00CE2999">
        <w:t xml:space="preserve">in areas where private sector rents are low are not disadvantaged by these changes and can still afford decent appropriate supported housing. </w:t>
      </w:r>
    </w:p>
    <w:p w:rsidR="00CE2999" w:rsidRPr="00CE2999" w:rsidRDefault="00CE2999" w:rsidP="00CE2999"/>
    <w:p w:rsidR="00DC4E09" w:rsidRDefault="00DC4E09" w:rsidP="00DC4E09">
      <w:r>
        <w:t xml:space="preserve">Also unspecified is </w:t>
      </w:r>
      <w:r w:rsidR="002F7096" w:rsidRPr="00DC4E09">
        <w:t>h</w:t>
      </w:r>
      <w:r w:rsidR="00CE2999" w:rsidRPr="00DC4E09">
        <w:t>ow existing tenants will be protected in the transition from one system to another</w:t>
      </w:r>
      <w:r>
        <w:t>.</w:t>
      </w:r>
    </w:p>
    <w:p w:rsidR="00DC4E09" w:rsidRDefault="00DC4E09" w:rsidP="00DC4E09"/>
    <w:p w:rsidR="00DC4E09" w:rsidRDefault="00DC4E09" w:rsidP="00DC4E09">
      <w:r>
        <w:t>In order to have their rental help reduced to that of the LHA rate, existing residents will need to h</w:t>
      </w:r>
      <w:r w:rsidR="00233A4D">
        <w:t>ave their tenancy agreements emended</w:t>
      </w:r>
      <w:r>
        <w:t xml:space="preserve"> so that their rent liability matches the LHA rate.</w:t>
      </w:r>
    </w:p>
    <w:p w:rsidR="00DC4E09" w:rsidRDefault="00DC4E09" w:rsidP="00DC4E09"/>
    <w:p w:rsidR="00DC4E09" w:rsidRDefault="00DC4E09" w:rsidP="00DC4E09">
      <w:r>
        <w:t xml:space="preserve">It is essential that there are no other changes to the level of service and support provided to disabled people when given a new tenancy agreement. </w:t>
      </w:r>
    </w:p>
    <w:p w:rsidR="00DC4E09" w:rsidRDefault="00DC4E09" w:rsidP="00DC4E09"/>
    <w:p w:rsidR="00CE2999" w:rsidRPr="00CE2999" w:rsidRDefault="002F7096" w:rsidP="002F7096">
      <w:r>
        <w:t>I</w:t>
      </w:r>
      <w:r w:rsidRPr="002F7096">
        <w:t>f there is to be a transfer of r</w:t>
      </w:r>
      <w:r>
        <w:t xml:space="preserve">esponsibilities to another it is essential that there is </w:t>
      </w:r>
      <w:r w:rsidRPr="002F7096">
        <w:t xml:space="preserve">a clear requirement to capture the level of actual costs in the current </w:t>
      </w:r>
      <w:r w:rsidR="00DC4E09">
        <w:t xml:space="preserve">supported housing </w:t>
      </w:r>
      <w:r>
        <w:t>system.</w:t>
      </w:r>
    </w:p>
    <w:p w:rsidR="00CE2999" w:rsidRPr="00CE2999" w:rsidRDefault="00CE2999" w:rsidP="00CE2999"/>
    <w:p w:rsidR="00DC4E09" w:rsidRPr="00DC4E09" w:rsidRDefault="00DC4E09" w:rsidP="00DC4E09">
      <w:r>
        <w:t xml:space="preserve">It is also essential that that </w:t>
      </w:r>
      <w:r w:rsidRPr="00DC4E09">
        <w:t xml:space="preserve">funds </w:t>
      </w:r>
      <w:r>
        <w:t>are provided</w:t>
      </w:r>
      <w:r w:rsidRPr="00DC4E09">
        <w:t xml:space="preserve"> to meet commitments to current schemes. </w:t>
      </w:r>
    </w:p>
    <w:p w:rsidR="00DC4E09" w:rsidRPr="00DC4E09" w:rsidRDefault="00DC4E09" w:rsidP="00DC4E09"/>
    <w:p w:rsidR="00CE2999" w:rsidRDefault="006E40D0" w:rsidP="00CE2999">
      <w:r>
        <w:t>Ken Butler</w:t>
      </w:r>
    </w:p>
    <w:p w:rsidR="006E40D0" w:rsidRDefault="006E40D0" w:rsidP="00CE2999">
      <w:r>
        <w:t>Welfare Rights Adviser</w:t>
      </w:r>
    </w:p>
    <w:p w:rsidR="006E40D0" w:rsidRDefault="006E40D0" w:rsidP="00CE2999">
      <w:r>
        <w:t>Member Organisations</w:t>
      </w:r>
    </w:p>
    <w:p w:rsidR="006E40D0" w:rsidRPr="00CE2999" w:rsidRDefault="006E40D0" w:rsidP="00CE2999">
      <w:r>
        <w:t>Disability Rights UK</w:t>
      </w:r>
    </w:p>
    <w:p w:rsidR="00CE2999" w:rsidRPr="00A95BDB" w:rsidRDefault="002D0E93" w:rsidP="00A95BDB">
      <w:hyperlink r:id="rId8" w:history="1">
        <w:r w:rsidR="006E40D0" w:rsidRPr="00E50A52">
          <w:rPr>
            <w:rStyle w:val="Hyperlink"/>
          </w:rPr>
          <w:t>ken.butler@disabilityrightsuk.org</w:t>
        </w:r>
      </w:hyperlink>
      <w:r w:rsidR="006E40D0">
        <w:t xml:space="preserve"> </w:t>
      </w:r>
    </w:p>
    <w:sectPr w:rsidR="00CE2999" w:rsidRPr="00A95B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F88" w:rsidRDefault="003A0F88" w:rsidP="00861521">
      <w:r>
        <w:separator/>
      </w:r>
    </w:p>
  </w:endnote>
  <w:endnote w:type="continuationSeparator" w:id="0">
    <w:p w:rsidR="003A0F88" w:rsidRDefault="003A0F88" w:rsidP="0086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F88" w:rsidRDefault="003A0F88" w:rsidP="00861521">
      <w:r>
        <w:separator/>
      </w:r>
    </w:p>
  </w:footnote>
  <w:footnote w:type="continuationSeparator" w:id="0">
    <w:p w:rsidR="003A0F88" w:rsidRDefault="003A0F88" w:rsidP="00861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64BA"/>
    <w:multiLevelType w:val="hybridMultilevel"/>
    <w:tmpl w:val="1A02FFDE"/>
    <w:lvl w:ilvl="0" w:tplc="980CAFDA">
      <w:start w:val="1"/>
      <w:numFmt w:val="bullet"/>
      <w:lvlText w:val="•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28ECB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0C52D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AC65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969E1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06163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707E6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0805F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A8FE2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25014D"/>
    <w:multiLevelType w:val="hybridMultilevel"/>
    <w:tmpl w:val="42287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5F"/>
    <w:rsid w:val="00233A4D"/>
    <w:rsid w:val="002D0E93"/>
    <w:rsid w:val="002F7096"/>
    <w:rsid w:val="003A0F88"/>
    <w:rsid w:val="003E1F17"/>
    <w:rsid w:val="0054446B"/>
    <w:rsid w:val="006E40D0"/>
    <w:rsid w:val="006F7FCC"/>
    <w:rsid w:val="007A7EB0"/>
    <w:rsid w:val="007C385F"/>
    <w:rsid w:val="00820F99"/>
    <w:rsid w:val="00845A10"/>
    <w:rsid w:val="00861521"/>
    <w:rsid w:val="008F3226"/>
    <w:rsid w:val="009B5080"/>
    <w:rsid w:val="00A8507C"/>
    <w:rsid w:val="00A95BDB"/>
    <w:rsid w:val="00BB31CE"/>
    <w:rsid w:val="00CE2999"/>
    <w:rsid w:val="00D47DD7"/>
    <w:rsid w:val="00D8692D"/>
    <w:rsid w:val="00DC4E09"/>
    <w:rsid w:val="00DD4AA5"/>
    <w:rsid w:val="00FF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F5A88-AD48-452D-937F-E0C6F79C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8"/>
        <w:szCs w:val="28"/>
        <w:lang w:val="en-GB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F7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385F"/>
    <w:rPr>
      <w:color w:val="0563C1" w:themeColor="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861521"/>
    <w:pPr>
      <w:spacing w:line="251" w:lineRule="auto"/>
      <w:ind w:left="1135" w:right="1773"/>
    </w:pPr>
    <w:rPr>
      <w:rFonts w:ascii="Calibri" w:eastAsia="Calibri" w:hAnsi="Calibri" w:cs="Calibri"/>
      <w:color w:val="000000"/>
      <w:sz w:val="18"/>
      <w:szCs w:val="22"/>
      <w:lang w:eastAsia="en-GB"/>
    </w:rPr>
  </w:style>
  <w:style w:type="character" w:customStyle="1" w:styleId="footnotedescriptionChar">
    <w:name w:val="footnote description Char"/>
    <w:link w:val="footnotedescription"/>
    <w:rsid w:val="00861521"/>
    <w:rPr>
      <w:rFonts w:ascii="Calibri" w:eastAsia="Calibri" w:hAnsi="Calibri" w:cs="Calibri"/>
      <w:color w:val="000000"/>
      <w:sz w:val="18"/>
      <w:szCs w:val="22"/>
      <w:lang w:eastAsia="en-GB"/>
    </w:rPr>
  </w:style>
  <w:style w:type="character" w:customStyle="1" w:styleId="footnotemark">
    <w:name w:val="footnote mark"/>
    <w:hidden/>
    <w:rsid w:val="00861521"/>
    <w:rPr>
      <w:rFonts w:ascii="Calibri" w:eastAsia="Calibri" w:hAnsi="Calibri" w:cs="Calibri"/>
      <w:color w:val="000000"/>
      <w:sz w:val="18"/>
      <w:vertAlign w:val="superscript"/>
    </w:rPr>
  </w:style>
  <w:style w:type="paragraph" w:styleId="ListParagraph">
    <w:name w:val="List Paragraph"/>
    <w:basedOn w:val="Normal"/>
    <w:uiPriority w:val="34"/>
    <w:qFormat/>
    <w:rsid w:val="002F7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.butler@disabilityrightsuk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uploads/system/uploads/attachment_data/file/214489/rrep71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4412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Butler</dc:creator>
  <cp:keywords/>
  <dc:description/>
  <cp:lastModifiedBy>Martin Inch</cp:lastModifiedBy>
  <cp:revision>2</cp:revision>
  <dcterms:created xsi:type="dcterms:W3CDTF">2017-02-02T16:32:00Z</dcterms:created>
  <dcterms:modified xsi:type="dcterms:W3CDTF">2017-02-02T16:32:00Z</dcterms:modified>
</cp:coreProperties>
</file>